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127F87" w:rsidRPr="000A7553" w:rsidRDefault="00B1278B" w:rsidP="003E5AFF">
      <w:pPr>
        <w:pStyle w:val="Zhlav"/>
        <w:spacing w:after="120"/>
        <w:jc w:val="center"/>
        <w:rPr>
          <w:b/>
          <w:bCs/>
          <w:color w:val="FF0000"/>
          <w:sz w:val="21"/>
          <w:szCs w:val="21"/>
        </w:rPr>
      </w:pPr>
      <w:r w:rsidRPr="00B1278B">
        <w:rPr>
          <w:b/>
          <w:bCs/>
          <w:i/>
          <w:smallCaps/>
          <w:spacing w:val="30"/>
          <w:sz w:val="36"/>
          <w:szCs w:val="36"/>
          <w:lang w:val="cs-CZ" w:eastAsia="cs-CZ"/>
        </w:rPr>
        <w:t xml:space="preserve">III/37720 ČERNÁ HORA, MOST 37720-1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t>sp. zn. Pr</w:t>
      </w:r>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zapsaná v obchodním rejstříku  u </w:t>
      </w:r>
      <w:r w:rsidR="007044C4">
        <w:rPr>
          <w:sz w:val="21"/>
          <w:szCs w:val="21"/>
        </w:rPr>
        <w:t>……</w:t>
      </w:r>
      <w:r w:rsidRPr="00766640">
        <w:rPr>
          <w:sz w:val="21"/>
          <w:szCs w:val="21"/>
        </w:rPr>
        <w:t xml:space="preserve"> soudu v </w:t>
      </w:r>
      <w:r w:rsidRPr="00766640">
        <w:rPr>
          <w:b/>
          <w:sz w:val="21"/>
          <w:szCs w:val="21"/>
          <w:highlight w:val="yellow"/>
        </w:rPr>
        <w:t>***</w:t>
      </w:r>
      <w:r w:rsidRPr="00766640">
        <w:rPr>
          <w:sz w:val="21"/>
          <w:szCs w:val="21"/>
        </w:rPr>
        <w:tab/>
        <w:t xml:space="preserve">sp. zn. </w:t>
      </w:r>
      <w:r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Předmět 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B1278B">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B1278B" w:rsidRPr="00B1278B">
        <w:rPr>
          <w:sz w:val="21"/>
          <w:szCs w:val="21"/>
        </w:rPr>
        <w:t>III/37720 ČERNÁ HORA, MOST 37720-1</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8459C3" w:rsidP="00F54B3E">
      <w:pPr>
        <w:numPr>
          <w:ilvl w:val="2"/>
          <w:numId w:val="10"/>
        </w:numPr>
        <w:tabs>
          <w:tab w:val="left" w:pos="1080"/>
        </w:tabs>
        <w:ind w:left="1077"/>
        <w:jc w:val="both"/>
        <w:rPr>
          <w:sz w:val="21"/>
          <w:szCs w:val="21"/>
        </w:rPr>
      </w:pPr>
      <w:r w:rsidRPr="00766640">
        <w:rPr>
          <w:sz w:val="21"/>
          <w:szCs w:val="21"/>
        </w:rPr>
        <w:t>geometrický plán stavby včetně plánu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132CD8" w:rsidRPr="00766640" w:rsidRDefault="00132CD8" w:rsidP="00D1326D">
      <w:pPr>
        <w:numPr>
          <w:ilvl w:val="6"/>
          <w:numId w:val="4"/>
        </w:numPr>
        <w:tabs>
          <w:tab w:val="clear" w:pos="360"/>
          <w:tab w:val="left" w:pos="540"/>
        </w:tabs>
        <w:spacing w:before="120" w:after="120"/>
        <w:ind w:left="567" w:hanging="567"/>
        <w:jc w:val="both"/>
        <w:rPr>
          <w:bCs/>
          <w:sz w:val="21"/>
          <w:szCs w:val="21"/>
        </w:rPr>
      </w:pPr>
      <w:r w:rsidRPr="00766640">
        <w:rPr>
          <w:sz w:val="21"/>
          <w:szCs w:val="21"/>
        </w:rPr>
        <w:t xml:space="preserve">Místo plnění je určeno projektovou dokumentací jako prostor staveniště. Tam, kde to povaha plnění umožňuje, může být místem plnění i pracoviště objednatele: </w:t>
      </w:r>
      <w:r w:rsidR="00F32716" w:rsidRPr="00B54FBE">
        <w:rPr>
          <w:sz w:val="21"/>
          <w:szCs w:val="21"/>
        </w:rPr>
        <w:t>investiční úsek oblasti Sever, Komenského 2, 678 01 Blansko.</w:t>
      </w:r>
    </w:p>
    <w:p w:rsidR="000B5882" w:rsidRPr="00766640" w:rsidRDefault="000B5882" w:rsidP="000B5882">
      <w:pPr>
        <w:numPr>
          <w:ilvl w:val="6"/>
          <w:numId w:val="4"/>
        </w:numPr>
        <w:tabs>
          <w:tab w:val="clear" w:pos="360"/>
          <w:tab w:val="num" w:pos="540"/>
        </w:tabs>
        <w:spacing w:before="120" w:after="120"/>
        <w:ind w:left="539" w:hanging="539"/>
        <w:jc w:val="both"/>
        <w:rPr>
          <w:sz w:val="21"/>
          <w:szCs w:val="21"/>
        </w:rPr>
      </w:pPr>
      <w:r w:rsidRPr="00766640">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B1278B" w:rsidRPr="00B1278B" w:rsidRDefault="00630DA0" w:rsidP="000B6F45">
      <w:pPr>
        <w:pStyle w:val="Odstavecseseznamem"/>
        <w:numPr>
          <w:ilvl w:val="3"/>
          <w:numId w:val="9"/>
        </w:numPr>
        <w:tabs>
          <w:tab w:val="clear" w:pos="2880"/>
          <w:tab w:val="left" w:pos="539"/>
        </w:tabs>
        <w:spacing w:after="120"/>
        <w:ind w:left="539" w:hanging="539"/>
        <w:jc w:val="both"/>
        <w:rPr>
          <w:sz w:val="21"/>
          <w:szCs w:val="21"/>
        </w:rPr>
      </w:pPr>
      <w:r w:rsidRPr="00B1278B">
        <w:rPr>
          <w:sz w:val="21"/>
          <w:szCs w:val="21"/>
        </w:rPr>
        <w:t xml:space="preserve">Předmětem stavby </w:t>
      </w:r>
      <w:r w:rsidR="00132CD8" w:rsidRPr="00B1278B">
        <w:rPr>
          <w:sz w:val="21"/>
          <w:szCs w:val="21"/>
        </w:rPr>
        <w:t>je</w:t>
      </w:r>
      <w:r w:rsidR="00EC22C4" w:rsidRPr="00B1278B">
        <w:rPr>
          <w:sz w:val="21"/>
          <w:szCs w:val="21"/>
        </w:rPr>
        <w:t xml:space="preserve"> </w:t>
      </w:r>
      <w:r w:rsidR="00B1278B" w:rsidRPr="00B1278B">
        <w:rPr>
          <w:sz w:val="21"/>
          <w:szCs w:val="21"/>
        </w:rPr>
        <w:t>přestavba mostu ev. č. 37720-1 v městysu Černá Hora. Most se nachází v intravilánu na silnici III. třídy v provozním staničení km 0,231. U mostu bude zachována stávající kamenná spodní stavba opěr klenby a mostní křídla. Do stávajícího otvoru bude po odtěžení skladby dna toku vsunut ocelový tubus ulo</w:t>
      </w:r>
      <w:r w:rsidR="000B6F45">
        <w:rPr>
          <w:sz w:val="21"/>
          <w:szCs w:val="21"/>
        </w:rPr>
        <w:t>žený do </w:t>
      </w:r>
      <w:r w:rsidR="00B1278B" w:rsidRPr="00B1278B">
        <w:rPr>
          <w:sz w:val="21"/>
          <w:szCs w:val="21"/>
        </w:rPr>
        <w:t>štěrkopískového lože. Na železobetonová čela bude navazovat gabionová zídka tvořící mostní křídla ve tvaru opěrných zdí v patě svahu. Stávající mostní klenba bude zachována. Prostor mezi novou a starou nosnou konstrukcí bude vyplněn betonem.  Zbytek mostu bude zasypán vhodnou zeminou. Šířka mostu bude 32,975 m. Délka nosné konstrukce mostu je navržena 5,54 m. Součástí rekonstrukce mostu bude realizace oboustranného chodníku š. 2,25 m a oprava komunikace III/37720 v celkové délce 70 m.</w:t>
      </w:r>
    </w:p>
    <w:p w:rsidR="00B1278B" w:rsidRPr="00B1278B" w:rsidRDefault="00B1278B" w:rsidP="000B6F45">
      <w:pPr>
        <w:pStyle w:val="Odstavecseseznamem"/>
        <w:tabs>
          <w:tab w:val="left" w:pos="539"/>
        </w:tabs>
        <w:spacing w:after="120"/>
        <w:ind w:left="539"/>
        <w:jc w:val="both"/>
        <w:rPr>
          <w:sz w:val="21"/>
          <w:szCs w:val="21"/>
        </w:rPr>
      </w:pPr>
      <w:r w:rsidRPr="00B1278B">
        <w:rPr>
          <w:sz w:val="21"/>
          <w:szCs w:val="21"/>
        </w:rPr>
        <w:t xml:space="preserve">V rámci stavby budou provedeny přeložky kanalizace, veřejného osvětlení a telefonních kabelů, zajištění DIO. </w:t>
      </w:r>
    </w:p>
    <w:p w:rsidR="00B1278B" w:rsidRPr="00B1278B" w:rsidRDefault="00B1278B" w:rsidP="000B6F45">
      <w:pPr>
        <w:pStyle w:val="Odstavecseseznamem"/>
        <w:tabs>
          <w:tab w:val="left" w:pos="539"/>
        </w:tabs>
        <w:spacing w:after="120"/>
        <w:ind w:left="539"/>
        <w:jc w:val="both"/>
        <w:rPr>
          <w:sz w:val="21"/>
          <w:szCs w:val="21"/>
        </w:rPr>
      </w:pPr>
      <w:r w:rsidRPr="00B1278B">
        <w:rPr>
          <w:sz w:val="21"/>
          <w:szCs w:val="21"/>
        </w:rPr>
        <w:lastRenderedPageBreak/>
        <w:t>Dále bude provedena pokládka asfaltových vrstev a dokončovací práce.</w:t>
      </w:r>
    </w:p>
    <w:p w:rsidR="00B1278B" w:rsidRDefault="00085E40" w:rsidP="000B6F45">
      <w:pPr>
        <w:pStyle w:val="Odstavecseseznamem"/>
        <w:tabs>
          <w:tab w:val="left" w:pos="539"/>
        </w:tabs>
        <w:spacing w:after="120"/>
        <w:ind w:left="539"/>
        <w:contextualSpacing w:val="0"/>
        <w:jc w:val="both"/>
        <w:rPr>
          <w:sz w:val="21"/>
          <w:szCs w:val="21"/>
        </w:rPr>
      </w:pPr>
      <w:r w:rsidRPr="00766640">
        <w:rPr>
          <w:sz w:val="21"/>
          <w:szCs w:val="21"/>
        </w:rPr>
        <w:t xml:space="preserve">                </w:t>
      </w:r>
    </w:p>
    <w:p w:rsidR="00EC22C4" w:rsidRPr="00766640" w:rsidRDefault="00EC22C4" w:rsidP="00B1278B">
      <w:pPr>
        <w:pStyle w:val="Odstavecseseznamem"/>
        <w:tabs>
          <w:tab w:val="left" w:pos="539"/>
        </w:tabs>
        <w:spacing w:after="120"/>
        <w:ind w:left="539"/>
        <w:contextualSpacing w:val="0"/>
        <w:jc w:val="both"/>
        <w:rPr>
          <w:sz w:val="21"/>
          <w:szCs w:val="21"/>
        </w:rPr>
      </w:pPr>
      <w:r w:rsidRPr="00766640">
        <w:rPr>
          <w:sz w:val="21"/>
          <w:szCs w:val="21"/>
        </w:rPr>
        <w:t xml:space="preserve">Předmětem </w:t>
      </w:r>
      <w:r w:rsidR="0089570F" w:rsidRPr="00766640">
        <w:rPr>
          <w:sz w:val="21"/>
          <w:szCs w:val="21"/>
        </w:rPr>
        <w:t xml:space="preserve">plnění z </w:t>
      </w:r>
      <w:r w:rsidRPr="00766640">
        <w:rPr>
          <w:sz w:val="21"/>
          <w:szCs w:val="21"/>
        </w:rPr>
        <w:t>této smlouvy jsou objekty:</w:t>
      </w:r>
    </w:p>
    <w:p w:rsidR="00B1278B" w:rsidRPr="00B1278B" w:rsidRDefault="00B1278B" w:rsidP="00B1278B">
      <w:pPr>
        <w:pStyle w:val="Odstavecseseznamem"/>
        <w:tabs>
          <w:tab w:val="left" w:pos="539"/>
        </w:tabs>
        <w:spacing w:after="120"/>
        <w:ind w:left="539"/>
        <w:jc w:val="both"/>
        <w:rPr>
          <w:sz w:val="21"/>
          <w:szCs w:val="21"/>
        </w:rPr>
      </w:pPr>
      <w:r w:rsidRPr="00B1278B">
        <w:rPr>
          <w:sz w:val="21"/>
          <w:szCs w:val="21"/>
        </w:rPr>
        <w:t>SO 101 Silnice</w:t>
      </w:r>
    </w:p>
    <w:p w:rsidR="00B1278B" w:rsidRPr="00B1278B" w:rsidRDefault="00B1278B" w:rsidP="00B1278B">
      <w:pPr>
        <w:pStyle w:val="Odstavecseseznamem"/>
        <w:tabs>
          <w:tab w:val="left" w:pos="539"/>
        </w:tabs>
        <w:spacing w:after="120"/>
        <w:ind w:left="539"/>
        <w:jc w:val="both"/>
        <w:rPr>
          <w:sz w:val="21"/>
          <w:szCs w:val="21"/>
        </w:rPr>
      </w:pPr>
      <w:r w:rsidRPr="00B1278B">
        <w:rPr>
          <w:sz w:val="21"/>
          <w:szCs w:val="21"/>
        </w:rPr>
        <w:t>SO 181 Dopravně inženýrská opatření</w:t>
      </w:r>
    </w:p>
    <w:p w:rsidR="00B1278B" w:rsidRPr="00B1278B" w:rsidRDefault="00B1278B" w:rsidP="00B1278B">
      <w:pPr>
        <w:pStyle w:val="Odstavecseseznamem"/>
        <w:tabs>
          <w:tab w:val="left" w:pos="539"/>
        </w:tabs>
        <w:spacing w:after="120"/>
        <w:ind w:left="539"/>
        <w:jc w:val="both"/>
        <w:rPr>
          <w:sz w:val="21"/>
          <w:szCs w:val="21"/>
        </w:rPr>
      </w:pPr>
      <w:r w:rsidRPr="00B1278B">
        <w:rPr>
          <w:sz w:val="21"/>
          <w:szCs w:val="21"/>
        </w:rPr>
        <w:t>SO 201 Most</w:t>
      </w:r>
    </w:p>
    <w:p w:rsidR="00B1278B" w:rsidRPr="00B1278B" w:rsidRDefault="00B1278B" w:rsidP="00B1278B">
      <w:pPr>
        <w:pStyle w:val="Odstavecseseznamem"/>
        <w:tabs>
          <w:tab w:val="left" w:pos="539"/>
        </w:tabs>
        <w:spacing w:after="120"/>
        <w:ind w:left="539"/>
        <w:jc w:val="both"/>
        <w:rPr>
          <w:sz w:val="21"/>
          <w:szCs w:val="21"/>
        </w:rPr>
      </w:pPr>
      <w:r w:rsidRPr="00B1278B">
        <w:rPr>
          <w:sz w:val="21"/>
          <w:szCs w:val="21"/>
        </w:rPr>
        <w:t>SO 301 Přeložka kanalizace</w:t>
      </w:r>
    </w:p>
    <w:p w:rsidR="00D1326D" w:rsidRDefault="00B1278B" w:rsidP="00B1278B">
      <w:pPr>
        <w:pStyle w:val="Odstavecseseznamem"/>
        <w:tabs>
          <w:tab w:val="left" w:pos="539"/>
        </w:tabs>
        <w:spacing w:after="120"/>
        <w:ind w:left="539"/>
        <w:jc w:val="both"/>
        <w:rPr>
          <w:sz w:val="21"/>
          <w:szCs w:val="21"/>
        </w:rPr>
      </w:pPr>
      <w:r w:rsidRPr="00B1278B">
        <w:rPr>
          <w:sz w:val="21"/>
          <w:szCs w:val="21"/>
        </w:rPr>
        <w:t>SO 321 Vodní tok</w:t>
      </w:r>
    </w:p>
    <w:p w:rsidR="001C23D8" w:rsidRPr="00766640" w:rsidRDefault="0089570F" w:rsidP="00CA4E51">
      <w:pPr>
        <w:pStyle w:val="Odstavecseseznamem"/>
        <w:tabs>
          <w:tab w:val="left" w:pos="539"/>
        </w:tabs>
        <w:spacing w:after="120"/>
        <w:ind w:left="539"/>
        <w:jc w:val="both"/>
        <w:rPr>
          <w:sz w:val="21"/>
          <w:szCs w:val="21"/>
        </w:rPr>
      </w:pPr>
      <w:r w:rsidRPr="00766640">
        <w:rPr>
          <w:sz w:val="21"/>
          <w:szCs w:val="21"/>
        </w:rPr>
        <w:t xml:space="preserve">Předmětem smlouvy nejsou stavební objekty, jejichž investorem je </w:t>
      </w:r>
      <w:r w:rsidR="00B1278B">
        <w:rPr>
          <w:sz w:val="21"/>
          <w:szCs w:val="21"/>
        </w:rPr>
        <w:t>městys Černá Hora</w:t>
      </w:r>
      <w:r w:rsidRPr="00766640">
        <w:rPr>
          <w:sz w:val="21"/>
          <w:szCs w:val="21"/>
        </w:rPr>
        <w:t xml:space="preserve">, </w:t>
      </w:r>
      <w:r w:rsidR="001C23D8" w:rsidRPr="00766640">
        <w:rPr>
          <w:sz w:val="21"/>
          <w:szCs w:val="21"/>
        </w:rPr>
        <w:t xml:space="preserve">objekt SO </w:t>
      </w:r>
      <w:r w:rsidR="00085E40" w:rsidRPr="00766640">
        <w:rPr>
          <w:sz w:val="21"/>
          <w:szCs w:val="21"/>
        </w:rPr>
        <w:t>10</w:t>
      </w:r>
      <w:r w:rsidR="00B1278B">
        <w:rPr>
          <w:sz w:val="21"/>
          <w:szCs w:val="21"/>
        </w:rPr>
        <w:t>2</w:t>
      </w:r>
      <w:r w:rsidR="00085E40" w:rsidRPr="00766640">
        <w:rPr>
          <w:sz w:val="21"/>
          <w:szCs w:val="21"/>
        </w:rPr>
        <w:t xml:space="preserve"> Chodník, </w:t>
      </w:r>
      <w:r w:rsidR="001C23D8" w:rsidRPr="00766640">
        <w:rPr>
          <w:sz w:val="21"/>
          <w:szCs w:val="21"/>
        </w:rPr>
        <w:t xml:space="preserve"> </w:t>
      </w:r>
      <w:r w:rsidR="00B1278B">
        <w:rPr>
          <w:sz w:val="21"/>
          <w:szCs w:val="21"/>
        </w:rPr>
        <w:t xml:space="preserve">               </w:t>
      </w:r>
      <w:r w:rsidR="00085E40" w:rsidRPr="00766640">
        <w:rPr>
          <w:sz w:val="21"/>
          <w:szCs w:val="21"/>
        </w:rPr>
        <w:t xml:space="preserve">SO </w:t>
      </w:r>
      <w:r w:rsidR="00B1278B">
        <w:rPr>
          <w:sz w:val="21"/>
          <w:szCs w:val="21"/>
        </w:rPr>
        <w:t>431 Veřejné osvětlení</w:t>
      </w:r>
      <w:r w:rsidR="00085E40" w:rsidRPr="00766640">
        <w:rPr>
          <w:sz w:val="21"/>
          <w:szCs w:val="21"/>
        </w:rPr>
        <w:t>.</w:t>
      </w:r>
    </w:p>
    <w:p w:rsidR="000B6F45" w:rsidRDefault="000B6F45" w:rsidP="001C23D8">
      <w:pPr>
        <w:pStyle w:val="Odstavecseseznamem"/>
        <w:tabs>
          <w:tab w:val="left" w:pos="539"/>
        </w:tabs>
        <w:spacing w:after="120"/>
        <w:ind w:left="539"/>
        <w:jc w:val="both"/>
        <w:rPr>
          <w:sz w:val="21"/>
          <w:szCs w:val="21"/>
        </w:rPr>
      </w:pPr>
    </w:p>
    <w:p w:rsidR="001C23D8" w:rsidRDefault="0055701D" w:rsidP="001C23D8">
      <w:pPr>
        <w:pStyle w:val="Odstavecseseznamem"/>
        <w:tabs>
          <w:tab w:val="left" w:pos="539"/>
        </w:tabs>
        <w:spacing w:after="120"/>
        <w:ind w:left="539"/>
        <w:jc w:val="both"/>
        <w:rPr>
          <w:sz w:val="21"/>
          <w:szCs w:val="21"/>
        </w:rPr>
      </w:pPr>
      <w:r w:rsidRPr="0055701D">
        <w:rPr>
          <w:sz w:val="21"/>
          <w:szCs w:val="21"/>
        </w:rPr>
        <w:t xml:space="preserve">Předmětem </w:t>
      </w:r>
      <w:r>
        <w:rPr>
          <w:sz w:val="21"/>
          <w:szCs w:val="21"/>
        </w:rPr>
        <w:t>veřejné zakázky</w:t>
      </w:r>
      <w:r w:rsidRPr="0055701D">
        <w:rPr>
          <w:sz w:val="21"/>
          <w:szCs w:val="21"/>
        </w:rPr>
        <w:t xml:space="preserve"> není objekt SO 401 Přeložka kabelů CETIN.</w:t>
      </w:r>
    </w:p>
    <w:p w:rsidR="0055701D" w:rsidRPr="00766640" w:rsidRDefault="0055701D" w:rsidP="001C23D8">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630DA0" w:rsidRPr="00766640" w:rsidRDefault="00630DA0" w:rsidP="00526E37">
      <w:pPr>
        <w:numPr>
          <w:ilvl w:val="2"/>
          <w:numId w:val="13"/>
        </w:numPr>
        <w:tabs>
          <w:tab w:val="left" w:pos="1080"/>
        </w:tabs>
        <w:ind w:left="1076"/>
        <w:jc w:val="both"/>
        <w:rPr>
          <w:sz w:val="21"/>
          <w:szCs w:val="21"/>
        </w:rPr>
      </w:pPr>
      <w:r w:rsidRPr="00766640">
        <w:rPr>
          <w:sz w:val="21"/>
          <w:szCs w:val="21"/>
        </w:rPr>
        <w:t>projektová dokumentace pro provedení stavby</w:t>
      </w:r>
      <w:r w:rsidR="003E5AFF" w:rsidRPr="00766640">
        <w:rPr>
          <w:sz w:val="21"/>
          <w:szCs w:val="21"/>
        </w:rPr>
        <w:t>:</w:t>
      </w:r>
      <w:r w:rsidRPr="00766640">
        <w:rPr>
          <w:sz w:val="21"/>
          <w:szCs w:val="21"/>
        </w:rPr>
        <w:t xml:space="preserve"> </w:t>
      </w:r>
      <w:r w:rsidR="00526E37" w:rsidRPr="00526E37">
        <w:rPr>
          <w:sz w:val="21"/>
          <w:szCs w:val="21"/>
        </w:rPr>
        <w:t>zpracovaná firmou Rušar mosty s.r.o., Majdalenky 19, 63800 Brno</w:t>
      </w:r>
      <w:r w:rsidRPr="00766640">
        <w:rPr>
          <w:sz w:val="21"/>
          <w:szCs w:val="21"/>
        </w:rPr>
        <w:t xml:space="preserve"> (dále jen „projektová dokumentace“);</w:t>
      </w:r>
    </w:p>
    <w:p w:rsidR="00526E37" w:rsidRPr="00526E37" w:rsidRDefault="00526E37" w:rsidP="00526E37">
      <w:pPr>
        <w:numPr>
          <w:ilvl w:val="2"/>
          <w:numId w:val="13"/>
        </w:numPr>
        <w:tabs>
          <w:tab w:val="left" w:pos="1080"/>
        </w:tabs>
        <w:ind w:left="1076"/>
        <w:jc w:val="both"/>
        <w:rPr>
          <w:sz w:val="21"/>
          <w:szCs w:val="21"/>
        </w:rPr>
      </w:pPr>
      <w:r>
        <w:rPr>
          <w:sz w:val="21"/>
          <w:szCs w:val="21"/>
        </w:rPr>
        <w:t>s</w:t>
      </w:r>
      <w:r w:rsidRPr="00526E37">
        <w:rPr>
          <w:sz w:val="21"/>
          <w:szCs w:val="21"/>
        </w:rPr>
        <w:t>polečné povolení, vydané Městským úřadem Blansko, odbor stavební úřadu, oddělení silničního hospodářství, ze dne 3.11.2022,  pod č.j. SÚ SH SR 34/2022-MBK 54734/2022/Pa, NPM 10.12.2022</w:t>
      </w:r>
      <w:r>
        <w:rPr>
          <w:sz w:val="21"/>
          <w:szCs w:val="21"/>
        </w:rPr>
        <w:t>;</w:t>
      </w:r>
    </w:p>
    <w:p w:rsidR="00630DA0" w:rsidRPr="00766640" w:rsidRDefault="00526E37" w:rsidP="00526E37">
      <w:pPr>
        <w:numPr>
          <w:ilvl w:val="2"/>
          <w:numId w:val="13"/>
        </w:numPr>
        <w:tabs>
          <w:tab w:val="left" w:pos="1080"/>
        </w:tabs>
        <w:ind w:left="1076"/>
        <w:jc w:val="both"/>
        <w:rPr>
          <w:sz w:val="21"/>
          <w:szCs w:val="21"/>
        </w:rPr>
      </w:pPr>
      <w:r>
        <w:rPr>
          <w:sz w:val="21"/>
          <w:szCs w:val="21"/>
        </w:rPr>
        <w:t>r</w:t>
      </w:r>
      <w:r w:rsidRPr="00526E37">
        <w:rPr>
          <w:sz w:val="21"/>
          <w:szCs w:val="21"/>
        </w:rPr>
        <w:t xml:space="preserve">ozhodnutí ZUK vydané Městským úřadem Blansko, ze dne 17.3.2022, č.j. SÚSH ZVL 34/2022- MBK </w:t>
      </w:r>
      <w:r w:rsidR="00630DA0"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 technickými normami a technickými podmínkami vztahujícími se k předmětu díla.</w:t>
      </w:r>
    </w:p>
    <w:p w:rsidR="00A564E1" w:rsidRPr="00766640" w:rsidRDefault="00A564E1" w:rsidP="00630DA0">
      <w:pPr>
        <w:spacing w:after="120"/>
        <w:ind w:left="567" w:hanging="567"/>
        <w:jc w:val="both"/>
        <w:rPr>
          <w:sz w:val="21"/>
          <w:szCs w:val="21"/>
        </w:rPr>
      </w:pPr>
    </w:p>
    <w:p w:rsidR="007044C4" w:rsidRPr="00BA6021" w:rsidRDefault="007044C4" w:rsidP="007044C4">
      <w:pPr>
        <w:pStyle w:val="Odstavecseseznamem"/>
        <w:keepNext/>
        <w:keepLines/>
        <w:numPr>
          <w:ilvl w:val="0"/>
          <w:numId w:val="9"/>
        </w:numPr>
        <w:tabs>
          <w:tab w:val="left" w:pos="567"/>
        </w:tabs>
        <w:spacing w:before="120" w:after="120"/>
        <w:ind w:hanging="1080"/>
        <w:rPr>
          <w:b/>
          <w:smallCaps/>
          <w:spacing w:val="20"/>
          <w:sz w:val="21"/>
          <w:szCs w:val="21"/>
        </w:rPr>
      </w:pPr>
      <w:r>
        <w:rPr>
          <w:b/>
          <w:smallCaps/>
          <w:spacing w:val="20"/>
          <w:sz w:val="21"/>
          <w:szCs w:val="21"/>
        </w:rPr>
        <w:t>Realizační dokumentace stavby (dále jen RDS)</w:t>
      </w:r>
    </w:p>
    <w:p w:rsidR="008459C3" w:rsidRPr="00766640" w:rsidRDefault="00D1326D" w:rsidP="00AB1DF0">
      <w:pPr>
        <w:numPr>
          <w:ilvl w:val="6"/>
          <w:numId w:val="27"/>
        </w:numPr>
        <w:tabs>
          <w:tab w:val="clear" w:pos="360"/>
        </w:tabs>
        <w:spacing w:before="120" w:after="120"/>
        <w:ind w:left="567" w:hanging="567"/>
        <w:jc w:val="both"/>
        <w:rPr>
          <w:sz w:val="21"/>
          <w:szCs w:val="21"/>
        </w:rPr>
      </w:pPr>
      <w:r w:rsidRPr="00766640">
        <w:rPr>
          <w:sz w:val="21"/>
          <w:szCs w:val="21"/>
        </w:rPr>
        <w:t>Zhotovi</w:t>
      </w:r>
      <w:r w:rsidR="0089570F" w:rsidRPr="00766640">
        <w:rPr>
          <w:sz w:val="21"/>
          <w:szCs w:val="21"/>
        </w:rPr>
        <w:t xml:space="preserve">tel dopracuje RDS </w:t>
      </w:r>
      <w:r w:rsidR="007044C4">
        <w:rPr>
          <w:sz w:val="21"/>
          <w:szCs w:val="21"/>
        </w:rPr>
        <w:t>k</w:t>
      </w:r>
      <w:r w:rsidR="002B4FEA">
        <w:rPr>
          <w:sz w:val="21"/>
          <w:szCs w:val="21"/>
        </w:rPr>
        <w:t> </w:t>
      </w:r>
      <w:r w:rsidR="007044C4">
        <w:rPr>
          <w:sz w:val="21"/>
          <w:szCs w:val="21"/>
        </w:rPr>
        <w:t>objektu</w:t>
      </w:r>
      <w:r w:rsidR="002B4FEA">
        <w:rPr>
          <w:sz w:val="21"/>
          <w:szCs w:val="21"/>
        </w:rPr>
        <w:t xml:space="preserve"> SO</w:t>
      </w:r>
      <w:r w:rsidR="007044C4">
        <w:rPr>
          <w:sz w:val="21"/>
          <w:szCs w:val="21"/>
        </w:rPr>
        <w:t xml:space="preserve"> </w:t>
      </w:r>
      <w:r w:rsidR="00526E37">
        <w:rPr>
          <w:sz w:val="21"/>
          <w:szCs w:val="21"/>
        </w:rPr>
        <w:t>201</w:t>
      </w:r>
      <w:r w:rsidR="003A0C82" w:rsidRPr="00766640">
        <w:rPr>
          <w:sz w:val="21"/>
          <w:szCs w:val="21"/>
        </w:rPr>
        <w:t>.</w:t>
      </w:r>
      <w:r w:rsidR="00893227" w:rsidRPr="00766640">
        <w:rPr>
          <w:sz w:val="21"/>
          <w:szCs w:val="21"/>
        </w:rPr>
        <w:t xml:space="preserve"> </w:t>
      </w:r>
      <w:r w:rsidR="008459C3" w:rsidRPr="00766640">
        <w:rPr>
          <w:sz w:val="21"/>
          <w:szCs w:val="21"/>
        </w:rPr>
        <w:t xml:space="preserve">RDS bude zpracována v </w:t>
      </w:r>
      <w:r w:rsidR="00C60E32" w:rsidRPr="00766640">
        <w:rPr>
          <w:sz w:val="21"/>
          <w:szCs w:val="21"/>
        </w:rPr>
        <w:t>souladu s </w:t>
      </w:r>
      <w:r w:rsidR="003A0C82" w:rsidRPr="00766640">
        <w:rPr>
          <w:sz w:val="21"/>
          <w:szCs w:val="21"/>
        </w:rPr>
        <w:t>právními předpisy a s </w:t>
      </w:r>
      <w:r w:rsidR="008459C3" w:rsidRPr="00766640">
        <w:rPr>
          <w:sz w:val="21"/>
          <w:szCs w:val="21"/>
        </w:rPr>
        <w:t xml:space="preserve">aktuálně účinnou Směrnicí Ministerstva dopravy pro dokumentaci staveb pozemních komunikací </w:t>
      </w:r>
      <w:r w:rsidR="00B31620" w:rsidRPr="00766640">
        <w:rPr>
          <w:sz w:val="21"/>
          <w:szCs w:val="21"/>
        </w:rPr>
        <w:t>ověřena osobou s autorizací pro </w:t>
      </w:r>
      <w:r w:rsidR="008459C3" w:rsidRPr="00766640">
        <w:rPr>
          <w:sz w:val="21"/>
          <w:szCs w:val="21"/>
        </w:rPr>
        <w:t xml:space="preserve">příslušný obor. </w:t>
      </w:r>
    </w:p>
    <w:p w:rsidR="007044C4" w:rsidRPr="007044C4" w:rsidRDefault="007044C4" w:rsidP="007044C4">
      <w:pPr>
        <w:spacing w:before="120" w:after="120"/>
        <w:ind w:left="567"/>
        <w:jc w:val="both"/>
        <w:rPr>
          <w:sz w:val="21"/>
          <w:szCs w:val="21"/>
        </w:rPr>
      </w:pPr>
      <w:r w:rsidRPr="007044C4">
        <w:rPr>
          <w:sz w:val="21"/>
          <w:szCs w:val="21"/>
        </w:rPr>
        <w:t xml:space="preserve">RDS bude předána </w:t>
      </w:r>
      <w:r w:rsidR="00F32716">
        <w:rPr>
          <w:color w:val="000000"/>
          <w:sz w:val="21"/>
          <w:szCs w:val="21"/>
        </w:rPr>
        <w:t>2</w:t>
      </w:r>
      <w:r w:rsidRPr="007044C4">
        <w:rPr>
          <w:color w:val="000000"/>
          <w:sz w:val="21"/>
          <w:szCs w:val="21"/>
        </w:rPr>
        <w:t xml:space="preserve">x </w:t>
      </w:r>
      <w:r w:rsidRPr="007044C4">
        <w:rPr>
          <w:sz w:val="21"/>
          <w:szCs w:val="21"/>
        </w:rPr>
        <w:t>v tištěné podobě. RDS bude rovněž předána elektronicky na jednom nosiči USB flash disk, přičemž na nosiči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Zhotovitel je povine</w:t>
      </w:r>
      <w:r w:rsidR="0089570F" w:rsidRPr="00766640">
        <w:rPr>
          <w:sz w:val="21"/>
          <w:szCs w:val="21"/>
        </w:rPr>
        <w:t>n předat objednateli návrh RDS 1</w:t>
      </w:r>
      <w:r w:rsidRPr="00766640">
        <w:rPr>
          <w:sz w:val="21"/>
          <w:szCs w:val="21"/>
        </w:rPr>
        <w:t xml:space="preserve">x v tištěné podobě a  elektronicky mailem na adresu správce stavby, a to </w:t>
      </w:r>
      <w:r w:rsidRPr="00766640">
        <w:rPr>
          <w:color w:val="000000"/>
          <w:sz w:val="21"/>
          <w:szCs w:val="21"/>
        </w:rPr>
        <w:t>alespoň 20 dnů před zahájením prací na příslušném stavebním objektu</w:t>
      </w:r>
      <w:r w:rsidRPr="00766640">
        <w:rPr>
          <w:sz w:val="21"/>
          <w:szCs w:val="21"/>
        </w:rPr>
        <w:t>.</w:t>
      </w:r>
    </w:p>
    <w:p w:rsidR="008459C3" w:rsidRPr="00766640" w:rsidRDefault="008459C3" w:rsidP="008459C3">
      <w:pPr>
        <w:pStyle w:val="Odstavecseseznamem"/>
        <w:spacing w:before="120" w:after="120"/>
        <w:ind w:left="567"/>
        <w:jc w:val="both"/>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w:t>
      </w:r>
      <w:r w:rsidR="00C60E32" w:rsidRPr="00766640">
        <w:rPr>
          <w:sz w:val="21"/>
          <w:szCs w:val="21"/>
        </w:rPr>
        <w:t>ní a předání stavby a předání a </w:t>
      </w:r>
      <w:r w:rsidRPr="00766640">
        <w:rPr>
          <w:sz w:val="21"/>
          <w:szCs w:val="21"/>
        </w:rPr>
        <w:t>převzetí díla sjednané touto smlouvou.</w:t>
      </w:r>
    </w:p>
    <w:p w:rsidR="008459C3" w:rsidRPr="00766640" w:rsidRDefault="008459C3" w:rsidP="008459C3">
      <w:pPr>
        <w:pStyle w:val="Odstavecseseznamem"/>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lastRenderedPageBreak/>
        <w:t>Všechna vyhotovení RDS, případně zbylá vyhotovení RDS budou předána do 5 pracovních dnů od obdržení souhlasu s RDS, případně do 5 pracovních dnů od uskutečnění jednání se zhotovitelem o výhradách k RDS.</w:t>
      </w:r>
    </w:p>
    <w:p w:rsidR="008459C3" w:rsidRPr="00766640" w:rsidRDefault="008459C3" w:rsidP="008459C3">
      <w:pPr>
        <w:pStyle w:val="Odstavecseseznamem"/>
        <w:rPr>
          <w:sz w:val="21"/>
          <w:szCs w:val="21"/>
        </w:rPr>
      </w:pPr>
    </w:p>
    <w:p w:rsidR="00A564E1"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4663CB" w:rsidRPr="00766640" w:rsidRDefault="004663CB" w:rsidP="004663CB">
      <w:pPr>
        <w:numPr>
          <w:ilvl w:val="6"/>
          <w:numId w:val="9"/>
        </w:numPr>
        <w:tabs>
          <w:tab w:val="clear" w:pos="5040"/>
        </w:tabs>
        <w:spacing w:before="120" w:after="120"/>
        <w:ind w:left="567" w:hanging="567"/>
        <w:jc w:val="both"/>
        <w:rPr>
          <w:sz w:val="21"/>
          <w:szCs w:val="21"/>
        </w:rPr>
      </w:pPr>
      <w:r w:rsidRPr="00766640">
        <w:rPr>
          <w:sz w:val="21"/>
          <w:szCs w:val="21"/>
        </w:rPr>
        <w:t>DSPS zhotovitel vyhotoví v souladu s právními předpisy a s aktuálně účinnou Sm</w:t>
      </w:r>
      <w:r w:rsidR="00113DB0" w:rsidRPr="00766640">
        <w:rPr>
          <w:sz w:val="21"/>
          <w:szCs w:val="21"/>
        </w:rPr>
        <w:t>ěrnicí Ministerstva dopravy pro </w:t>
      </w:r>
      <w:r w:rsidRPr="00766640">
        <w:rPr>
          <w:sz w:val="21"/>
          <w:szCs w:val="21"/>
        </w:rPr>
        <w:t>dokumentaci staveb pozemních komunikací. Součástí DSPS bude zákres</w:t>
      </w:r>
      <w:r w:rsidR="00113DB0" w:rsidRPr="00766640">
        <w:rPr>
          <w:sz w:val="21"/>
          <w:szCs w:val="21"/>
        </w:rPr>
        <w:t xml:space="preserve"> skutečného provedení stavby do </w:t>
      </w:r>
      <w:r w:rsidRPr="00766640">
        <w:rPr>
          <w:sz w:val="21"/>
          <w:szCs w:val="21"/>
        </w:rPr>
        <w:t>katastrální mapy.</w:t>
      </w:r>
    </w:p>
    <w:p w:rsidR="000B5882" w:rsidRPr="00766640" w:rsidRDefault="000B5882" w:rsidP="00F32716">
      <w:pPr>
        <w:numPr>
          <w:ilvl w:val="6"/>
          <w:numId w:val="9"/>
        </w:numPr>
        <w:tabs>
          <w:tab w:val="clear" w:pos="5040"/>
        </w:tabs>
        <w:spacing w:before="120" w:after="120"/>
        <w:ind w:left="567" w:hanging="567"/>
        <w:jc w:val="both"/>
        <w:rPr>
          <w:rFonts w:eastAsia="Calibri"/>
          <w:sz w:val="21"/>
          <w:szCs w:val="21"/>
          <w:lang w:eastAsia="en-US"/>
        </w:rPr>
      </w:pPr>
      <w:r w:rsidRPr="00766640">
        <w:rPr>
          <w:rFonts w:eastAsia="Calibri"/>
          <w:sz w:val="21"/>
          <w:szCs w:val="21"/>
          <w:lang w:eastAsia="en-US"/>
        </w:rPr>
        <w:t xml:space="preserve">DSPS bude předána </w:t>
      </w:r>
      <w:r w:rsidR="00F32716">
        <w:rPr>
          <w:rFonts w:eastAsia="Calibri"/>
          <w:sz w:val="21"/>
          <w:szCs w:val="21"/>
          <w:lang w:eastAsia="en-US"/>
        </w:rPr>
        <w:t>2</w:t>
      </w:r>
      <w:r w:rsidRPr="00766640">
        <w:rPr>
          <w:rFonts w:eastAsia="Calibri"/>
          <w:sz w:val="21"/>
          <w:szCs w:val="21"/>
          <w:lang w:eastAsia="en-US"/>
        </w:rPr>
        <w:t xml:space="preserve">x v tištěné podobě. Veškerá tištěná vyhotovení DSPS budou ověřena osobou </w:t>
      </w:r>
      <w:r w:rsidR="005B729F">
        <w:rPr>
          <w:rFonts w:eastAsia="Calibri"/>
          <w:sz w:val="21"/>
          <w:szCs w:val="21"/>
          <w:lang w:eastAsia="en-US"/>
        </w:rPr>
        <w:t>oprávněnou dle </w:t>
      </w:r>
      <w:r w:rsidR="002B4FEA">
        <w:rPr>
          <w:rFonts w:eastAsia="Calibri"/>
          <w:sz w:val="21"/>
          <w:szCs w:val="21"/>
          <w:lang w:eastAsia="en-US"/>
        </w:rPr>
        <w:t xml:space="preserve">zákona č. 360/1992Sb. </w:t>
      </w:r>
      <w:r w:rsidR="00732829">
        <w:rPr>
          <w:rFonts w:eastAsia="Calibri"/>
          <w:sz w:val="21"/>
          <w:szCs w:val="21"/>
          <w:lang w:eastAsia="en-US"/>
        </w:rPr>
        <w:t xml:space="preserve"> pro obor mosty a inženýrské konstrukce</w:t>
      </w:r>
      <w:r w:rsidRPr="00766640">
        <w:rPr>
          <w:rFonts w:eastAsia="Calibri"/>
          <w:sz w:val="21"/>
          <w:szCs w:val="21"/>
          <w:lang w:eastAsia="en-US"/>
        </w:rPr>
        <w:t>. Je-li pro zpracování DSPS na určitý objekt požadována jiná odborná způsobilost, než je uvedeno ve větě druhé tohoto odstavce, je zhotovitel povinen zajistit zpracování DSPS takovou osobou.</w:t>
      </w:r>
    </w:p>
    <w:p w:rsidR="000B5882" w:rsidRPr="00766640" w:rsidRDefault="000B5882" w:rsidP="00AB1DF0">
      <w:pPr>
        <w:numPr>
          <w:ilvl w:val="6"/>
          <w:numId w:val="27"/>
        </w:numPr>
        <w:tabs>
          <w:tab w:val="clear" w:pos="360"/>
          <w:tab w:val="num" w:pos="5040"/>
        </w:tabs>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w:t>
      </w:r>
      <w:r w:rsidR="005B729F">
        <w:rPr>
          <w:rFonts w:eastAsia="Calibri"/>
          <w:sz w:val="21"/>
          <w:szCs w:val="21"/>
          <w:lang w:eastAsia="en-US"/>
        </w:rPr>
        <w:t>hladina může být v </w:t>
      </w:r>
      <w:r w:rsidRPr="00766640">
        <w:rPr>
          <w:rFonts w:eastAsia="Calibri"/>
          <w:sz w:val="21"/>
          <w:szCs w:val="21"/>
          <w:lang w:eastAsia="en-US"/>
        </w:rPr>
        <w:t xml:space="preserve">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766640" w:rsidRDefault="000B5882" w:rsidP="00AB1DF0">
      <w:pPr>
        <w:numPr>
          <w:ilvl w:val="6"/>
          <w:numId w:val="27"/>
        </w:numPr>
        <w:tabs>
          <w:tab w:val="clear" w:pos="360"/>
          <w:tab w:val="num" w:pos="5040"/>
        </w:tabs>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6B245C" w:rsidRPr="00766640" w:rsidRDefault="006B245C" w:rsidP="006B245C">
      <w:pPr>
        <w:pStyle w:val="Odstavecseseznamem"/>
        <w:keepNext/>
        <w:keepLines/>
        <w:tabs>
          <w:tab w:val="left" w:pos="1134"/>
        </w:tabs>
        <w:spacing w:before="120" w:after="120"/>
        <w:ind w:left="1080"/>
        <w:rPr>
          <w:b/>
          <w:smallCaps/>
          <w:spacing w:val="20"/>
          <w:sz w:val="21"/>
          <w:szCs w:val="21"/>
        </w:rPr>
      </w:pP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Default="007044C4" w:rsidP="007044C4">
      <w:pPr>
        <w:numPr>
          <w:ilvl w:val="6"/>
          <w:numId w:val="3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nejpozději při dokončení stavby, a to 3 x v listinné podobě a elektronicky (</w:t>
      </w:r>
      <w:r w:rsidRPr="00615FAA">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7044C4" w:rsidRDefault="007044C4" w:rsidP="007044C4">
      <w:pPr>
        <w:numPr>
          <w:ilvl w:val="6"/>
          <w:numId w:val="35"/>
        </w:numPr>
        <w:tabs>
          <w:tab w:val="left" w:pos="540"/>
        </w:tabs>
        <w:suppressAutoHyphens/>
        <w:spacing w:before="120" w:after="120"/>
        <w:ind w:left="540" w:hanging="540"/>
        <w:jc w:val="both"/>
        <w:rPr>
          <w:sz w:val="21"/>
          <w:szCs w:val="21"/>
        </w:rPr>
      </w:pPr>
      <w:bookmarkStart w:id="1" w:name="_Hlk92463328"/>
      <w:r w:rsidRPr="00A050E8">
        <w:rPr>
          <w:sz w:val="21"/>
          <w:szCs w:val="21"/>
        </w:rPr>
        <w:t>Zhotovitel je povinen vyhotovit geometrický plán na stavbu, který bude určen pro účely rozdělení pozemků</w:t>
      </w:r>
      <w:r w:rsidR="00147E3E">
        <w:rPr>
          <w:sz w:val="21"/>
          <w:szCs w:val="21"/>
        </w:rPr>
        <w:t>,</w:t>
      </w:r>
      <w:r w:rsidR="000231E0">
        <w:rPr>
          <w:sz w:val="21"/>
          <w:szCs w:val="21"/>
        </w:rPr>
        <w:t xml:space="preserve"> </w:t>
      </w:r>
      <w:r w:rsidR="005B729F">
        <w:rPr>
          <w:sz w:val="21"/>
          <w:szCs w:val="21"/>
        </w:rPr>
        <w:t>a </w:t>
      </w:r>
      <w:r w:rsidR="000231E0" w:rsidRPr="000231E0">
        <w:rPr>
          <w:sz w:val="21"/>
          <w:szCs w:val="21"/>
        </w:rPr>
        <w:t>případně geometrické plány pro vymezení rozsahu věcných břemen a zřízení služebností.</w:t>
      </w:r>
      <w:bookmarkEnd w:id="1"/>
      <w:r w:rsidRPr="000231E0">
        <w:rPr>
          <w:sz w:val="21"/>
          <w:szCs w:val="21"/>
        </w:rPr>
        <w:t xml:space="preserve"> Hranice sil</w:t>
      </w:r>
      <w:r w:rsidRPr="00A050E8">
        <w:rPr>
          <w:sz w:val="21"/>
          <w:szCs w:val="21"/>
        </w:rPr>
        <w:t>ničního pozemku je zhotovitel povinen konzultovat se správcem stavby.</w:t>
      </w:r>
    </w:p>
    <w:p w:rsidR="007044C4" w:rsidRPr="00A050E8" w:rsidRDefault="007044C4" w:rsidP="007044C4">
      <w:pPr>
        <w:numPr>
          <w:ilvl w:val="6"/>
          <w:numId w:val="35"/>
        </w:numPr>
        <w:tabs>
          <w:tab w:val="left" w:pos="540"/>
        </w:tabs>
        <w:suppressAutoHyphens/>
        <w:spacing w:before="120" w:after="120"/>
        <w:ind w:left="540" w:hanging="540"/>
        <w:jc w:val="both"/>
        <w:rPr>
          <w:sz w:val="21"/>
          <w:szCs w:val="21"/>
        </w:rPr>
      </w:pPr>
      <w:bookmarkStart w:id="2" w:name="_Hlk92463350"/>
      <w:r w:rsidRPr="00A050E8">
        <w:rPr>
          <w:sz w:val="21"/>
          <w:szCs w:val="21"/>
        </w:rPr>
        <w:lastRenderedPageBreak/>
        <w:t>Geometrický plán pro stavbu bude předán v listinné podobě v počtu vyhotovení potřebném k tomu, aby do katastru nemovitostí mohly být zapsány veškeré nové skutečnosti na plánu uvedené plus 5 plánů</w:t>
      </w:r>
      <w:bookmarkEnd w:id="2"/>
      <w:r w:rsidRPr="00A050E8">
        <w:rPr>
          <w:sz w:val="21"/>
          <w:szCs w:val="21"/>
        </w:rPr>
        <w:t>. Geometrický plán bude zároveň předán elektronicky (mailem na adresu správce stavby nebo na nosiči USB flash disk). Předávaný geometrický plán bude v souladu s příslušnými předpisy potvrzen katastrálním úřadem.</w:t>
      </w:r>
    </w:p>
    <w:p w:rsidR="007044C4" w:rsidRDefault="007044C4" w:rsidP="007044C4">
      <w:pPr>
        <w:numPr>
          <w:ilvl w:val="6"/>
          <w:numId w:val="3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Předání a převzetí staveniště</w:t>
            </w: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r w:rsidRPr="00766640">
              <w:rPr>
                <w:b/>
                <w:sz w:val="21"/>
                <w:szCs w:val="21"/>
              </w:rPr>
              <w:t xml:space="preserve">do 15 dnů </w:t>
            </w:r>
            <w:r w:rsidR="00324ECD" w:rsidRPr="00766640">
              <w:rPr>
                <w:b/>
                <w:sz w:val="21"/>
                <w:szCs w:val="21"/>
              </w:rPr>
              <w:t>od účinnosti smlouvy</w:t>
            </w:r>
          </w:p>
          <w:p w:rsidR="00493E59" w:rsidRPr="00766640" w:rsidRDefault="00493E59" w:rsidP="00493E59">
            <w:pPr>
              <w:tabs>
                <w:tab w:val="num" w:pos="540"/>
              </w:tabs>
              <w:spacing w:before="120" w:after="120"/>
              <w:rPr>
                <w:b/>
                <w:sz w:val="21"/>
                <w:szCs w:val="21"/>
              </w:rPr>
            </w:pPr>
          </w:p>
        </w:tc>
      </w:tr>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Dokončení a předání stavby</w:t>
            </w: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C616E2" w:rsidP="00493E59">
            <w:pPr>
              <w:tabs>
                <w:tab w:val="num" w:pos="540"/>
              </w:tabs>
              <w:spacing w:before="120" w:after="120"/>
              <w:rPr>
                <w:b/>
                <w:sz w:val="21"/>
                <w:szCs w:val="21"/>
              </w:rPr>
            </w:pPr>
            <w:r w:rsidRPr="00766640">
              <w:rPr>
                <w:b/>
                <w:sz w:val="21"/>
                <w:szCs w:val="21"/>
              </w:rPr>
              <w:t xml:space="preserve">do </w:t>
            </w:r>
            <w:r w:rsidR="00732829">
              <w:rPr>
                <w:b/>
                <w:sz w:val="21"/>
                <w:szCs w:val="21"/>
              </w:rPr>
              <w:t>31. 10. 2023</w:t>
            </w:r>
          </w:p>
          <w:p w:rsidR="00493E59" w:rsidRPr="00766640" w:rsidRDefault="00493E59" w:rsidP="00493E59">
            <w:pPr>
              <w:tabs>
                <w:tab w:val="num" w:pos="540"/>
              </w:tabs>
              <w:spacing w:before="120" w:after="120"/>
              <w:rPr>
                <w:b/>
                <w:sz w:val="21"/>
                <w:szCs w:val="21"/>
              </w:rPr>
            </w:pP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rsidR="00C616E2" w:rsidRPr="00766640" w:rsidRDefault="00C616E2" w:rsidP="00526E37">
            <w:pPr>
              <w:tabs>
                <w:tab w:val="num" w:pos="-19"/>
                <w:tab w:val="left" w:pos="180"/>
                <w:tab w:val="right" w:pos="4745"/>
              </w:tabs>
              <w:spacing w:before="120" w:after="120"/>
              <w:rPr>
                <w:b/>
                <w:sz w:val="21"/>
                <w:szCs w:val="21"/>
              </w:rPr>
            </w:pPr>
            <w:r w:rsidRPr="00766640">
              <w:rPr>
                <w:b/>
                <w:sz w:val="21"/>
                <w:szCs w:val="21"/>
              </w:rPr>
              <w:t xml:space="preserve">do </w:t>
            </w:r>
            <w:r w:rsidR="00526E37">
              <w:rPr>
                <w:b/>
                <w:sz w:val="21"/>
                <w:szCs w:val="21"/>
              </w:rPr>
              <w:t>3</w:t>
            </w:r>
            <w:r w:rsidRPr="00766640">
              <w:rPr>
                <w:b/>
                <w:sz w:val="21"/>
                <w:szCs w:val="21"/>
              </w:rPr>
              <w:t>0 dnů od dokončení a předání stavby</w:t>
            </w: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rsidR="00C616E2" w:rsidRPr="00766640" w:rsidRDefault="00C616E2" w:rsidP="00016E75">
            <w:pPr>
              <w:tabs>
                <w:tab w:val="num" w:pos="540"/>
              </w:tabs>
              <w:spacing w:before="120" w:after="120"/>
              <w:rPr>
                <w:b/>
                <w:sz w:val="21"/>
                <w:szCs w:val="21"/>
              </w:rPr>
            </w:pPr>
            <w:r w:rsidRPr="00766640">
              <w:rPr>
                <w:b/>
                <w:sz w:val="21"/>
                <w:szCs w:val="21"/>
              </w:rPr>
              <w:t xml:space="preserve">do </w:t>
            </w:r>
            <w:r w:rsidR="00016E75" w:rsidRPr="00766640">
              <w:rPr>
                <w:b/>
                <w:sz w:val="21"/>
                <w:szCs w:val="21"/>
              </w:rPr>
              <w:t>9</w:t>
            </w:r>
            <w:r w:rsidRPr="00766640">
              <w:rPr>
                <w:b/>
                <w:sz w:val="21"/>
                <w:szCs w:val="21"/>
              </w:rPr>
              <w:t>0 dnů od dokončení a předání stavby</w:t>
            </w:r>
          </w:p>
        </w:tc>
      </w:tr>
      <w:tr w:rsidR="00493E59" w:rsidRPr="00766640" w:rsidTr="00493E59">
        <w:trPr>
          <w:trHeight w:hRule="exact" w:val="759"/>
        </w:trPr>
        <w:tc>
          <w:tcPr>
            <w:tcW w:w="5428" w:type="dxa"/>
          </w:tcPr>
          <w:p w:rsidR="00493E59" w:rsidRDefault="00A51163" w:rsidP="00493E59">
            <w:pPr>
              <w:tabs>
                <w:tab w:val="num" w:pos="0"/>
              </w:tabs>
              <w:spacing w:before="120" w:after="120"/>
              <w:jc w:val="both"/>
              <w:rPr>
                <w:sz w:val="21"/>
                <w:szCs w:val="21"/>
              </w:rPr>
            </w:pPr>
            <w:r w:rsidRPr="00766640">
              <w:rPr>
                <w:sz w:val="21"/>
                <w:szCs w:val="21"/>
              </w:rPr>
              <w:t>Dřívější plnění je možné.</w:t>
            </w:r>
          </w:p>
          <w:p w:rsidR="007044C4" w:rsidRPr="00766640" w:rsidRDefault="007044C4"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p>
        </w:tc>
      </w:tr>
    </w:tbl>
    <w:p w:rsidR="007044C4" w:rsidRPr="00042498" w:rsidRDefault="007044C4" w:rsidP="00F32716">
      <w:pPr>
        <w:numPr>
          <w:ilvl w:val="0"/>
          <w:numId w:val="1"/>
        </w:numPr>
        <w:tabs>
          <w:tab w:val="clear" w:pos="720"/>
          <w:tab w:val="num" w:pos="539"/>
        </w:tabs>
        <w:spacing w:before="120" w:after="120"/>
        <w:ind w:left="539" w:hanging="539"/>
        <w:jc w:val="both"/>
        <w:rPr>
          <w:sz w:val="21"/>
          <w:szCs w:val="21"/>
        </w:rPr>
      </w:pPr>
      <w:r w:rsidRPr="00042498">
        <w:rPr>
          <w:sz w:val="21"/>
          <w:szCs w:val="21"/>
        </w:rPr>
        <w:t>Objednatel předá a zhotovitel je povinen převzít prostor staveniště na základě písemného protokolu.  Zhotovitel je povinen po předání a převzetí staveniště zahájit stavební práce, tak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766640"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prací</w:t>
      </w:r>
      <w:r w:rsidR="00526E37">
        <w:rPr>
          <w:sz w:val="22"/>
          <w:szCs w:val="22"/>
        </w:rPr>
        <w:t>;</w:t>
      </w:r>
    </w:p>
    <w:p w:rsidR="00526E37" w:rsidRDefault="00732829"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 xml:space="preserve">návrh </w:t>
      </w:r>
      <w:r w:rsidR="00526E37">
        <w:rPr>
          <w:sz w:val="22"/>
          <w:szCs w:val="22"/>
        </w:rPr>
        <w:t>havar</w:t>
      </w:r>
      <w:r w:rsidR="005B729F">
        <w:rPr>
          <w:sz w:val="22"/>
          <w:szCs w:val="22"/>
        </w:rPr>
        <w:t>i</w:t>
      </w:r>
      <w:r w:rsidR="00526E37">
        <w:rPr>
          <w:sz w:val="22"/>
          <w:szCs w:val="22"/>
        </w:rPr>
        <w:t>jn</w:t>
      </w:r>
      <w:r w:rsidR="005B729F">
        <w:rPr>
          <w:sz w:val="22"/>
          <w:szCs w:val="22"/>
        </w:rPr>
        <w:t>í</w:t>
      </w:r>
      <w:r>
        <w:rPr>
          <w:sz w:val="22"/>
          <w:szCs w:val="22"/>
        </w:rPr>
        <w:t>ho</w:t>
      </w:r>
      <w:r w:rsidR="00526E37">
        <w:rPr>
          <w:sz w:val="22"/>
          <w:szCs w:val="22"/>
        </w:rPr>
        <w:t xml:space="preserve"> plán</w:t>
      </w:r>
      <w:r>
        <w:rPr>
          <w:sz w:val="22"/>
          <w:szCs w:val="22"/>
        </w:rPr>
        <w:t>u</w:t>
      </w:r>
      <w:r w:rsidR="00526E37">
        <w:rPr>
          <w:sz w:val="22"/>
          <w:szCs w:val="22"/>
        </w:rPr>
        <w:t>;</w:t>
      </w:r>
    </w:p>
    <w:p w:rsidR="00526E37" w:rsidRPr="009620FB" w:rsidRDefault="00732829"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návrh povodňového plánu.</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Při předání a převzetí díla budou předány výhradně:</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práce a dodávky k odstranění případných zjevných drobných vad stavby nebránících užívání stavby k jejímu účelu;</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vyčištěné prostory staveniště;</w:t>
      </w:r>
    </w:p>
    <w:p w:rsidR="00766640" w:rsidRPr="00BE5799" w:rsidRDefault="00766640" w:rsidP="00AB1DF0">
      <w:pPr>
        <w:pStyle w:val="Odstavecseseznamem"/>
        <w:numPr>
          <w:ilvl w:val="2"/>
          <w:numId w:val="32"/>
        </w:numPr>
        <w:tabs>
          <w:tab w:val="clear" w:pos="2160"/>
          <w:tab w:val="num" w:pos="993"/>
        </w:tabs>
        <w:ind w:hanging="1309"/>
        <w:rPr>
          <w:sz w:val="21"/>
          <w:szCs w:val="21"/>
        </w:rPr>
      </w:pPr>
      <w:r w:rsidRPr="00BE5799">
        <w:rPr>
          <w:sz w:val="21"/>
          <w:szCs w:val="21"/>
        </w:rPr>
        <w:t>bankovní záruka.</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díla vyjma geometrických plánů nemůže být ukončeno, dokud nebude zjištěno, že je celé dílo vyjma geometrických plánů dle této smlouvy řádně předáno.</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Alespoň 5 pracovních dní předem předá zhotovitel objednateli veškeré pro dokončení stavby potřebné podklady s výjimkou těch podkladů, u kterých zhotovitel prokáže, že je nebylo možné nejpozději 5 pracovních dní </w:t>
      </w:r>
      <w:r w:rsidRPr="00D45F4E">
        <w:rPr>
          <w:sz w:val="22"/>
          <w:szCs w:val="22"/>
        </w:rPr>
        <w:lastRenderedPageBreak/>
        <w:t>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 předání a převzetí prostoru staveniště, dokončené stavby, díla vyjma geometrických plánů a geometrických plánů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K ceně díla bez DPH bude připočtena daň z přidané hodnoty v aktuální výši. Celková částka dokladu zůstane bez zaokrouhlení.</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 xml:space="preserve">nemá v úmyslu nezaplatit daň z přidané hodnoty u zdanitelného plnění podle této smlouvy (dále jen „daň“); </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mu nejsou známy skutečnosti nasvědčující tomu, že se dostane do postavení, kdy nemůže daň zaplatit a ani se ke dni uzavření této smlouvy v takovém postavení nenachází;</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nezkrátí daň nebo nevyláká daňovou výhodu.</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Cena díla je sjednána na základě jednotkových cen, jako součet oceněných položek soupisu prací (dále jen „rozpočet“), který je přílohou této smlouvy. </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Objednatelem budou hrazeny pouze skutečně a řádně provedené práce a dodávky.</w:t>
      </w:r>
    </w:p>
    <w:p w:rsidR="00766640" w:rsidRPr="004E697D" w:rsidRDefault="00766640" w:rsidP="00AB1DF0">
      <w:pPr>
        <w:numPr>
          <w:ilvl w:val="0"/>
          <w:numId w:val="5"/>
        </w:numPr>
        <w:tabs>
          <w:tab w:val="clear" w:pos="720"/>
          <w:tab w:val="num" w:pos="539"/>
        </w:tabs>
        <w:spacing w:before="120" w:after="120"/>
        <w:ind w:left="539" w:hanging="539"/>
        <w:jc w:val="both"/>
        <w:rPr>
          <w:color w:val="000000"/>
          <w:sz w:val="22"/>
          <w:szCs w:val="22"/>
        </w:rPr>
      </w:pPr>
      <w:r w:rsidRPr="004E697D">
        <w:rPr>
          <w:color w:val="000000"/>
          <w:sz w:val="22"/>
          <w:szCs w:val="22"/>
        </w:rPr>
        <w:t>Cena díla zahrnuje veškeré náklady zhotovitele na zhotovení díla v soul</w:t>
      </w:r>
      <w:r>
        <w:rPr>
          <w:color w:val="000000"/>
          <w:sz w:val="22"/>
          <w:szCs w:val="22"/>
        </w:rPr>
        <w:t>adu s projektovou dokumentací a </w:t>
      </w:r>
      <w:r w:rsidRPr="004E697D">
        <w:rPr>
          <w:color w:val="000000"/>
          <w:sz w:val="22"/>
          <w:szCs w:val="22"/>
        </w:rPr>
        <w:t>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ab/>
      </w:r>
      <w:r w:rsidR="00127F87" w:rsidRPr="00766640">
        <w:rPr>
          <w:b/>
          <w:smallCaps/>
          <w:spacing w:val="20"/>
          <w:sz w:val="21"/>
          <w:szCs w:val="21"/>
        </w:rPr>
        <w:t>Platební podmínky</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Cena díla bude hrazena průběžně na základě faktur s náležitostmi daňového dokladu. </w:t>
      </w:r>
    </w:p>
    <w:p w:rsidR="00E5294C" w:rsidRPr="00766640" w:rsidRDefault="00E5294C"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Faktury budou vystavovány měsíčně. Den uskutečnění zdanitelného plnění je den, ke kterému je zjišťovací protokol vystaven. Zhotovitel je povinen doručit faktury elektronicky na adresu </w:t>
      </w:r>
      <w:hyperlink r:id="rId8">
        <w:r w:rsidRPr="00766640">
          <w:rPr>
            <w:rStyle w:val="Internetovodkaz"/>
            <w:b/>
            <w:bCs/>
            <w:sz w:val="21"/>
            <w:szCs w:val="21"/>
          </w:rPr>
          <w:t>faktury@susjmk.cz</w:t>
        </w:r>
      </w:hyperlink>
      <w:r w:rsidRPr="00766640">
        <w:rPr>
          <w:sz w:val="21"/>
          <w:szCs w:val="21"/>
        </w:rPr>
        <w:t>, a to do patnácti kalendářních dnů po dni, ke kterému je vystaven a odsouhlasen správcem stavby zjišťovací protokol, nebo protokol o předání a převzetí díla.</w:t>
      </w:r>
    </w:p>
    <w:p w:rsidR="00CD2289" w:rsidRPr="00DF7797" w:rsidRDefault="00361EE4" w:rsidP="00361EE4">
      <w:pPr>
        <w:keepNext/>
        <w:keepLines/>
        <w:numPr>
          <w:ilvl w:val="0"/>
          <w:numId w:val="22"/>
        </w:numPr>
        <w:tabs>
          <w:tab w:val="clear" w:pos="360"/>
          <w:tab w:val="num" w:pos="539"/>
        </w:tabs>
        <w:spacing w:before="120" w:after="120"/>
        <w:ind w:left="539" w:hanging="539"/>
        <w:jc w:val="both"/>
        <w:rPr>
          <w:sz w:val="21"/>
          <w:szCs w:val="21"/>
        </w:rPr>
      </w:pPr>
      <w:r w:rsidRPr="00361EE4">
        <w:rPr>
          <w:sz w:val="21"/>
          <w:szCs w:val="21"/>
        </w:rPr>
        <w:t>Zhotovitel je povinen doručit objednateli zjišťovací protokol nejpozději do 5 kalendářních dnů od konce fakturačního období, jinak je objednatel oprávněn odmítnout odsouhlasení zjišťovacího protokolu pro fakturaci v daném</w:t>
      </w:r>
      <w:r w:rsidRPr="00441097">
        <w:rPr>
          <w:sz w:val="21"/>
          <w:szCs w:val="21"/>
        </w:rPr>
        <w:t xml:space="preserve"> měsíci.</w:t>
      </w:r>
      <w:r w:rsidRPr="00C151A1">
        <w:rPr>
          <w:sz w:val="21"/>
          <w:szCs w:val="21"/>
        </w:rPr>
        <w:t xml:space="preserve"> </w:t>
      </w:r>
      <w:r w:rsidR="00E5294C" w:rsidRPr="00C151A1">
        <w:rPr>
          <w:sz w:val="21"/>
          <w:szCs w:val="21"/>
        </w:rPr>
        <w:t>P</w:t>
      </w:r>
      <w:r w:rsidR="00CD2289" w:rsidRPr="00DF7797">
        <w:rPr>
          <w:sz w:val="21"/>
          <w:szCs w:val="21"/>
        </w:rPr>
        <w:t xml:space="preserve">řílohou faktur bude zjišťovací protokol: </w:t>
      </w:r>
    </w:p>
    <w:p w:rsidR="00CD2289" w:rsidRPr="00766640" w:rsidRDefault="00CD2289" w:rsidP="00AB1DF0">
      <w:pPr>
        <w:numPr>
          <w:ilvl w:val="2"/>
          <w:numId w:val="23"/>
        </w:numPr>
        <w:ind w:left="1032" w:hanging="181"/>
        <w:jc w:val="both"/>
        <w:rPr>
          <w:sz w:val="21"/>
          <w:szCs w:val="21"/>
        </w:rPr>
      </w:pPr>
      <w:r w:rsidRPr="00766640">
        <w:rPr>
          <w:sz w:val="21"/>
          <w:szCs w:val="21"/>
        </w:rPr>
        <w:t>který je vystavován k poslednímu dni v kalendářním měsíci;</w:t>
      </w:r>
    </w:p>
    <w:p w:rsidR="00CD2289" w:rsidRPr="00766640" w:rsidRDefault="00CD2289" w:rsidP="00AB1DF0">
      <w:pPr>
        <w:numPr>
          <w:ilvl w:val="2"/>
          <w:numId w:val="23"/>
        </w:numPr>
        <w:ind w:left="1032" w:hanging="181"/>
        <w:jc w:val="both"/>
        <w:rPr>
          <w:sz w:val="21"/>
          <w:szCs w:val="21"/>
        </w:rPr>
      </w:pPr>
      <w:r w:rsidRPr="00766640">
        <w:rPr>
          <w:sz w:val="21"/>
          <w:szCs w:val="21"/>
        </w:rPr>
        <w:t>který je datován a podepsán stavbyvedoucím a správcem stavby;</w:t>
      </w:r>
    </w:p>
    <w:p w:rsidR="00CD2289" w:rsidRPr="00766640" w:rsidRDefault="00CD2289" w:rsidP="00AB1DF0">
      <w:pPr>
        <w:numPr>
          <w:ilvl w:val="2"/>
          <w:numId w:val="23"/>
        </w:numPr>
        <w:ind w:left="1032" w:hanging="181"/>
        <w:jc w:val="both"/>
        <w:rPr>
          <w:sz w:val="21"/>
          <w:szCs w:val="21"/>
        </w:rPr>
      </w:pPr>
      <w:r w:rsidRPr="00766640">
        <w:rPr>
          <w:sz w:val="21"/>
          <w:szCs w:val="21"/>
        </w:rPr>
        <w:t xml:space="preserve">ve kterém jsou uvedeny informace o čerpání finančních prostředků stavby, a to: </w:t>
      </w:r>
    </w:p>
    <w:p w:rsidR="00CD2289" w:rsidRPr="00766640" w:rsidRDefault="00CD2289" w:rsidP="00F54B3E">
      <w:pPr>
        <w:numPr>
          <w:ilvl w:val="0"/>
          <w:numId w:val="7"/>
        </w:numPr>
        <w:ind w:left="1440" w:hanging="181"/>
        <w:jc w:val="both"/>
        <w:rPr>
          <w:sz w:val="21"/>
          <w:szCs w:val="21"/>
        </w:rPr>
      </w:pPr>
      <w:r w:rsidRPr="00766640">
        <w:rPr>
          <w:sz w:val="21"/>
          <w:szCs w:val="21"/>
        </w:rPr>
        <w:t>částka dle SOD a případných dodatečných prací,</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od zahájení stavby do začátku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v průběhu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čerpání od zahájení stavby do konce sledovaného období,</w:t>
      </w:r>
    </w:p>
    <w:p w:rsidR="00CD2289" w:rsidRPr="00766640" w:rsidRDefault="00CD2289" w:rsidP="00F54B3E">
      <w:pPr>
        <w:numPr>
          <w:ilvl w:val="0"/>
          <w:numId w:val="7"/>
        </w:numPr>
        <w:ind w:left="1440" w:hanging="181"/>
        <w:jc w:val="both"/>
        <w:rPr>
          <w:sz w:val="21"/>
          <w:szCs w:val="21"/>
        </w:rPr>
      </w:pPr>
      <w:r w:rsidRPr="00766640">
        <w:rPr>
          <w:sz w:val="21"/>
          <w:szCs w:val="21"/>
        </w:rPr>
        <w:t>údaj o částce, která má být dle celkové ceny ještě čerpána;</w:t>
      </w:r>
    </w:p>
    <w:p w:rsidR="00CD2289" w:rsidRPr="00766640" w:rsidRDefault="00CD2289" w:rsidP="00AB1DF0">
      <w:pPr>
        <w:pStyle w:val="Odstavecseseznamem"/>
        <w:numPr>
          <w:ilvl w:val="2"/>
          <w:numId w:val="23"/>
        </w:numPr>
        <w:ind w:left="1030"/>
        <w:jc w:val="both"/>
        <w:rPr>
          <w:sz w:val="21"/>
          <w:szCs w:val="21"/>
        </w:rPr>
      </w:pPr>
      <w:r w:rsidRPr="00766640">
        <w:rPr>
          <w:sz w:val="21"/>
          <w:szCs w:val="21"/>
        </w:rPr>
        <w:t>jejichž přílohou jsou celková rekapitulace a soupisy provedených prací.</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lastRenderedPageBreak/>
        <w:t>Celková rekapitulace a soupisy provedených prací jsou:</w:t>
      </w:r>
    </w:p>
    <w:p w:rsidR="00CD2289" w:rsidRPr="00766640" w:rsidRDefault="00CD2289" w:rsidP="00AB1DF0">
      <w:pPr>
        <w:numPr>
          <w:ilvl w:val="2"/>
          <w:numId w:val="22"/>
        </w:numPr>
        <w:ind w:left="1258" w:hanging="181"/>
        <w:jc w:val="both"/>
        <w:rPr>
          <w:sz w:val="21"/>
          <w:szCs w:val="21"/>
        </w:rPr>
      </w:pPr>
      <w:r w:rsidRPr="00766640">
        <w:rPr>
          <w:sz w:val="21"/>
          <w:szCs w:val="21"/>
        </w:rPr>
        <w:t>vystavovány alespoň jednou měsíčně;</w:t>
      </w:r>
    </w:p>
    <w:p w:rsidR="00CD2289" w:rsidRPr="00766640" w:rsidRDefault="00CD2289" w:rsidP="00AB1DF0">
      <w:pPr>
        <w:numPr>
          <w:ilvl w:val="2"/>
          <w:numId w:val="22"/>
        </w:numPr>
        <w:ind w:left="1258" w:hanging="181"/>
        <w:jc w:val="both"/>
        <w:rPr>
          <w:sz w:val="21"/>
          <w:szCs w:val="21"/>
        </w:rPr>
      </w:pPr>
      <w:r w:rsidRPr="00766640">
        <w:rPr>
          <w:sz w:val="21"/>
          <w:szCs w:val="21"/>
        </w:rPr>
        <w:t>zpracovány po jednotlivých stavebních objektech, vč. informací o čerpání finančních prostředků výše uvedených;</w:t>
      </w:r>
    </w:p>
    <w:p w:rsidR="00CD2289" w:rsidRPr="00766640" w:rsidRDefault="00CD2289" w:rsidP="00AB1DF0">
      <w:pPr>
        <w:numPr>
          <w:ilvl w:val="2"/>
          <w:numId w:val="22"/>
        </w:numPr>
        <w:ind w:left="1258" w:hanging="181"/>
        <w:jc w:val="both"/>
        <w:rPr>
          <w:sz w:val="21"/>
          <w:szCs w:val="21"/>
        </w:rPr>
      </w:pPr>
      <w:r w:rsidRPr="00766640">
        <w:rPr>
          <w:sz w:val="21"/>
          <w:szCs w:val="21"/>
        </w:rPr>
        <w:t>dokladem o skutečně a řádně provedených pracích;</w:t>
      </w:r>
    </w:p>
    <w:p w:rsidR="00CD2289" w:rsidRPr="00766640" w:rsidRDefault="00CD2289" w:rsidP="00AB1DF0">
      <w:pPr>
        <w:numPr>
          <w:ilvl w:val="2"/>
          <w:numId w:val="22"/>
        </w:numPr>
        <w:ind w:left="1258" w:hanging="181"/>
        <w:jc w:val="both"/>
        <w:rPr>
          <w:sz w:val="21"/>
          <w:szCs w:val="21"/>
        </w:rPr>
      </w:pPr>
      <w:r w:rsidRPr="00766640">
        <w:rPr>
          <w:sz w:val="21"/>
          <w:szCs w:val="21"/>
        </w:rPr>
        <w:t>v souladu se zadáním stavby, zápisy ve stavebních denících a s rozpočtem;</w:t>
      </w:r>
    </w:p>
    <w:p w:rsidR="00CD2289" w:rsidRPr="00766640" w:rsidRDefault="00CD2289" w:rsidP="00AB1DF0">
      <w:pPr>
        <w:numPr>
          <w:ilvl w:val="2"/>
          <w:numId w:val="22"/>
        </w:numPr>
        <w:ind w:left="1258" w:hanging="181"/>
        <w:jc w:val="both"/>
        <w:rPr>
          <w:sz w:val="21"/>
          <w:szCs w:val="21"/>
        </w:rPr>
      </w:pPr>
      <w:r w:rsidRPr="00766640">
        <w:rPr>
          <w:sz w:val="21"/>
          <w:szCs w:val="21"/>
        </w:rPr>
        <w:t>datovány a podepsány stavbyvedoucím a správcem stavby;</w:t>
      </w:r>
    </w:p>
    <w:p w:rsidR="00CD2289" w:rsidRPr="00766640" w:rsidRDefault="00CD2289" w:rsidP="00AB1DF0">
      <w:pPr>
        <w:numPr>
          <w:ilvl w:val="2"/>
          <w:numId w:val="22"/>
        </w:numPr>
        <w:ind w:left="1258" w:hanging="181"/>
        <w:jc w:val="both"/>
        <w:rPr>
          <w:sz w:val="21"/>
          <w:szCs w:val="21"/>
        </w:rPr>
      </w:pPr>
      <w:r w:rsidRPr="00766640">
        <w:rPr>
          <w:sz w:val="21"/>
          <w:szCs w:val="21"/>
        </w:rPr>
        <w:t xml:space="preserve">předány v tištěné podobě a elektronicky ve formátu XC4-*xml správci stavby a zaslány elektronicky ve formátu *.pdf  společně s fakturou na adresu </w:t>
      </w:r>
      <w:hyperlink r:id="rId9" w:history="1">
        <w:r w:rsidRPr="00766640">
          <w:rPr>
            <w:sz w:val="21"/>
            <w:szCs w:val="21"/>
          </w:rPr>
          <w:t>faktury@susjmk.cz</w:t>
        </w:r>
      </w:hyperlink>
      <w:r w:rsidRPr="00766640">
        <w:rPr>
          <w:sz w:val="21"/>
          <w:szCs w:val="21"/>
        </w:rPr>
        <w:t xml:space="preserve">. </w:t>
      </w:r>
    </w:p>
    <w:p w:rsidR="00E5294C" w:rsidRPr="00766640" w:rsidRDefault="00E5294C"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Přílohou závěrečné faktury u stavebních prací bude protokol o dokončení stavby</w:t>
      </w:r>
      <w:r w:rsidR="00395DE7">
        <w:rPr>
          <w:sz w:val="21"/>
          <w:szCs w:val="21"/>
        </w:rPr>
        <w:t xml:space="preserve"> nebo</w:t>
      </w:r>
      <w:r w:rsidRPr="00766640">
        <w:rPr>
          <w:sz w:val="21"/>
          <w:szCs w:val="21"/>
        </w:rPr>
        <w:t xml:space="preserve"> protokol o předání a převzetí díla</w:t>
      </w:r>
      <w:r w:rsidR="00C13E27" w:rsidRPr="00766640">
        <w:rPr>
          <w:sz w:val="21"/>
          <w:szCs w:val="21"/>
        </w:rPr>
        <w:t xml:space="preserve"> vyjma geometrického plánu</w:t>
      </w:r>
      <w:r w:rsidRPr="00766640">
        <w:rPr>
          <w:sz w:val="21"/>
          <w:szCs w:val="21"/>
        </w:rPr>
        <w:t xml:space="preserve">. </w:t>
      </w:r>
      <w:r w:rsidR="00C13E27" w:rsidRPr="00766640">
        <w:rPr>
          <w:sz w:val="21"/>
          <w:szCs w:val="21"/>
        </w:rPr>
        <w:t>Přílohou faktury pro geometrický plán bude protokol o předání a převzetí geometrického plánu.</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766640" w:rsidRPr="00BE5799" w:rsidRDefault="00766640" w:rsidP="00AB1DF0">
      <w:pPr>
        <w:numPr>
          <w:ilvl w:val="0"/>
          <w:numId w:val="22"/>
        </w:numPr>
        <w:tabs>
          <w:tab w:val="clear" w:pos="36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Zálohové platby se nesjednávají. </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427B01"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Zhotovitel je povinen provádět dílo s odbornou a potřebnou péčí, šetřit práv objednatele</w:t>
      </w:r>
      <w:r w:rsidR="00815538" w:rsidRPr="00766640">
        <w:rPr>
          <w:sz w:val="21"/>
          <w:szCs w:val="21"/>
        </w:rPr>
        <w:t xml:space="preserve"> a třetích osob a při provádění </w:t>
      </w:r>
      <w:r w:rsidRPr="00766640">
        <w:rPr>
          <w:sz w:val="21"/>
          <w:szCs w:val="21"/>
        </w:rPr>
        <w:t>díla šetřit veřejné zdroje.</w:t>
      </w:r>
    </w:p>
    <w:p w:rsidR="00427B01" w:rsidRPr="00766640"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provádět dílo prostřednictvím náležitě kvalifikovaných a odborně způsobilých osob. Je-li </w:t>
      </w:r>
      <w:r w:rsidR="00427B01" w:rsidRPr="00766640">
        <w:rPr>
          <w:sz w:val="21"/>
          <w:szCs w:val="21"/>
        </w:rPr>
        <w:t xml:space="preserve">   </w:t>
      </w:r>
      <w:r w:rsidRPr="00766640">
        <w:rPr>
          <w:sz w:val="21"/>
          <w:szCs w:val="21"/>
        </w:rPr>
        <w:t>pro některou činnost stavby nutný dohled jiné odborné způsobilosti než má stavbyvedoucí, zajistí zhotovitel její přítomnost.</w:t>
      </w:r>
    </w:p>
    <w:p w:rsidR="00427B01" w:rsidRPr="00766640"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w:t>
      </w:r>
      <w:r w:rsidR="00127F87" w:rsidRPr="00766640">
        <w:rPr>
          <w:sz w:val="21"/>
          <w:szCs w:val="21"/>
        </w:rPr>
        <w:t>hotovitel je povinen objednatele bezodkladně informovat o veškerých významných skutečnostech souvisejících</w:t>
      </w:r>
      <w:r w:rsidR="00815538" w:rsidRPr="00766640">
        <w:rPr>
          <w:sz w:val="21"/>
          <w:szCs w:val="21"/>
        </w:rPr>
        <w:t xml:space="preserve"> </w:t>
      </w:r>
      <w:r w:rsidR="00127F87" w:rsidRPr="00766640">
        <w:rPr>
          <w:sz w:val="21"/>
          <w:szCs w:val="21"/>
        </w:rPr>
        <w:t>s prováděním díla.</w:t>
      </w:r>
    </w:p>
    <w:p w:rsidR="00F54B3E"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dbát pokynů objednatele. Zástupce objednatele je oprávněn, v případě že zhotovitel provádí dílo v rozporu s dokumenty uvedenými v čl. </w:t>
      </w:r>
      <w:r w:rsidR="0036754E" w:rsidRPr="00766640">
        <w:rPr>
          <w:sz w:val="21"/>
          <w:szCs w:val="21"/>
        </w:rPr>
        <w:t>I</w:t>
      </w:r>
      <w:r w:rsidR="003E6D0E" w:rsidRPr="00766640">
        <w:rPr>
          <w:sz w:val="21"/>
          <w:szCs w:val="21"/>
        </w:rPr>
        <w:t>I. odst. 2</w:t>
      </w:r>
      <w:r w:rsidRPr="00766640">
        <w:rPr>
          <w:sz w:val="21"/>
          <w:szCs w:val="21"/>
        </w:rPr>
        <w:t>. této smlouvy, a ani přes</w:t>
      </w:r>
      <w:r w:rsidR="00132CD8" w:rsidRPr="00766640">
        <w:rPr>
          <w:sz w:val="21"/>
          <w:szCs w:val="21"/>
        </w:rPr>
        <w:t xml:space="preserve"> písemné upozornění v zápise ve </w:t>
      </w:r>
      <w:r w:rsidRPr="00766640">
        <w:rPr>
          <w:sz w:val="21"/>
          <w:szCs w:val="21"/>
        </w:rPr>
        <w:t>stavebním deníku nesjedná nápravu, zastavit práce na stavbě nebo její části. Toto zast</w:t>
      </w:r>
      <w:r w:rsidR="00132CD8" w:rsidRPr="00766640">
        <w:rPr>
          <w:sz w:val="21"/>
          <w:szCs w:val="21"/>
        </w:rPr>
        <w:t>avení stavby nemá vliv na </w:t>
      </w:r>
      <w:r w:rsidR="003E6D0E" w:rsidRPr="00766640">
        <w:rPr>
          <w:sz w:val="21"/>
          <w:szCs w:val="21"/>
        </w:rPr>
        <w:t>termín plnění sjednaný v čl. V</w:t>
      </w:r>
      <w:r w:rsidRPr="00766640">
        <w:rPr>
          <w:sz w:val="21"/>
          <w:szCs w:val="21"/>
        </w:rPr>
        <w:t>I. odst. 1. této smlouvy. V případě, že zhotovitel část stavby nebo stavbu přesto provede v rozporu s pokyny objednatele, nemá nárok na náhradu jakýchkoliv nákladů vynaložených na část stavby nebo stavbu provedenou v rozporu s pokyny objednatele.</w:t>
      </w:r>
    </w:p>
    <w:p w:rsidR="00766640" w:rsidRPr="004E697D" w:rsidRDefault="00766640" w:rsidP="00AB1DF0">
      <w:pPr>
        <w:pStyle w:val="Odstavecseseznamem"/>
        <w:numPr>
          <w:ilvl w:val="0"/>
          <w:numId w:val="11"/>
        </w:numPr>
        <w:tabs>
          <w:tab w:val="clear" w:pos="360"/>
          <w:tab w:val="num" w:pos="539"/>
        </w:tabs>
        <w:spacing w:after="120"/>
        <w:ind w:left="539" w:hanging="539"/>
        <w:contextualSpacing w:val="0"/>
        <w:jc w:val="both"/>
        <w:rPr>
          <w:sz w:val="22"/>
          <w:szCs w:val="22"/>
        </w:rPr>
      </w:pPr>
      <w:r w:rsidRPr="004E697D">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Objednatel je oprávněn kontrolovat plnění této smlouvy průběžně, zhotovitel je povinen ke kontrole poskytnout </w:t>
      </w:r>
      <w:r w:rsidR="00BD7A32" w:rsidRPr="00766640">
        <w:rPr>
          <w:sz w:val="21"/>
          <w:szCs w:val="21"/>
        </w:rPr>
        <w:t>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w:t>
      </w:r>
      <w:r w:rsidRPr="004E697D">
        <w:rPr>
          <w:sz w:val="22"/>
          <w:szCs w:val="22"/>
        </w:rPr>
        <w:lastRenderedPageBreak/>
        <w:t xml:space="preserve">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766640" w:rsidRPr="00766640" w:rsidRDefault="00DC735D" w:rsidP="00766640">
      <w:pPr>
        <w:spacing w:before="120" w:after="120"/>
        <w:ind w:left="1276" w:hanging="709"/>
        <w:jc w:val="both"/>
        <w:rPr>
          <w:sz w:val="21"/>
          <w:szCs w:val="21"/>
        </w:rPr>
      </w:pPr>
      <w:r w:rsidRPr="00766640">
        <w:rPr>
          <w:sz w:val="21"/>
          <w:szCs w:val="21"/>
        </w:rPr>
        <w:t xml:space="preserve">     </w:t>
      </w:r>
      <w:r w:rsidR="00AB1DF0">
        <w:rPr>
          <w:sz w:val="21"/>
          <w:szCs w:val="21"/>
        </w:rPr>
        <w:t xml:space="preserve"> </w:t>
      </w:r>
      <w:r w:rsidRPr="00766640">
        <w:rPr>
          <w:sz w:val="21"/>
          <w:szCs w:val="21"/>
        </w:rPr>
        <w:t xml:space="preserve"> 3.1</w:t>
      </w:r>
      <w:r w:rsidRPr="00766640">
        <w:rPr>
          <w:sz w:val="21"/>
          <w:szCs w:val="21"/>
        </w:rPr>
        <w:tab/>
      </w:r>
      <w:r w:rsidR="00766640" w:rsidRPr="00766640">
        <w:rPr>
          <w:sz w:val="21"/>
          <w:szCs w:val="21"/>
        </w:rPr>
        <w:t>Zhotovitel je povinen postupovat v souladu s kontrolním a zkušebním plánem, který je přílohou této smlouvy. Je-li kontrolní a zkušební plán v rozporu a příslušnými technicko</w:t>
      </w:r>
      <w:r w:rsidR="007044C4">
        <w:rPr>
          <w:sz w:val="21"/>
          <w:szCs w:val="21"/>
        </w:rPr>
        <w:t>-</w:t>
      </w:r>
      <w:r w:rsidR="00766640" w:rsidRPr="00766640">
        <w:rPr>
          <w:sz w:val="21"/>
          <w:szCs w:val="21"/>
        </w:rPr>
        <w:t>kvalitativními podmínkami, platí tyto TKP.</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3.2</w:t>
      </w:r>
      <w:r w:rsidR="00766640" w:rsidRPr="00766640">
        <w:rPr>
          <w:sz w:val="21"/>
          <w:szCs w:val="21"/>
        </w:rPr>
        <w:tab/>
        <w:t>Zhotovitel je povinen prokazatelně informovat objednatele a další dotčené osoby o všech prováděných zkouškách, a to u plánovaných zkoušek alespoň 3 pracovní dny předem, u zko</w:t>
      </w:r>
      <w:r>
        <w:rPr>
          <w:sz w:val="21"/>
          <w:szCs w:val="21"/>
        </w:rPr>
        <w:t>ušek, jejichž potřeba vznikla v </w:t>
      </w:r>
      <w:r w:rsidR="00766640" w:rsidRPr="00766640">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3.3</w:t>
      </w:r>
      <w:r w:rsidR="00766640" w:rsidRPr="00766640">
        <w:rPr>
          <w:sz w:val="21"/>
          <w:szCs w:val="21"/>
        </w:rPr>
        <w:tab/>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732829">
        <w:rPr>
          <w:sz w:val="21"/>
          <w:szCs w:val="21"/>
        </w:rPr>
        <w:t>dnatele či další dotčené osoby</w:t>
      </w:r>
      <w:r w:rsidR="00766640" w:rsidRPr="00766640">
        <w:rPr>
          <w:sz w:val="21"/>
          <w:szCs w:val="21"/>
        </w:rPr>
        <w:t xml:space="preserve">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3.4</w:t>
      </w:r>
      <w:r w:rsidR="00766640" w:rsidRPr="00766640">
        <w:rPr>
          <w:sz w:val="21"/>
          <w:szCs w:val="21"/>
        </w:rPr>
        <w:tab/>
        <w:t>K prověření plnění věcného plánu provádění díla bude objednatel pravidelně svolávat kontrolní dny. Zhotovitel je povinen se kontrolního dne účastnit. O výsledku kontro</w:t>
      </w:r>
      <w:r>
        <w:rPr>
          <w:sz w:val="21"/>
          <w:szCs w:val="21"/>
        </w:rPr>
        <w:t>lního dne bude sepsán záznam do </w:t>
      </w:r>
      <w:r w:rsidR="00766640" w:rsidRPr="00766640">
        <w:rPr>
          <w:sz w:val="21"/>
          <w:szCs w:val="21"/>
        </w:rPr>
        <w:t xml:space="preserve">stavebního deníku a případně i samostatný protokol, záznam podepíší všichni zúčastnění. </w:t>
      </w:r>
    </w:p>
    <w:p w:rsidR="00CD2289" w:rsidRPr="00766640" w:rsidRDefault="00CD228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je povinen pořizovat a průběžně objednateli předávat dokumentaci stavby. Dokumentaci stavby tvoří </w:t>
      </w:r>
      <w:r w:rsidR="00E5294C" w:rsidRPr="00766640">
        <w:rPr>
          <w:sz w:val="21"/>
          <w:szCs w:val="21"/>
        </w:rPr>
        <w:t xml:space="preserve"> </w:t>
      </w:r>
      <w:r w:rsidRPr="00766640">
        <w:rPr>
          <w:sz w:val="21"/>
          <w:szCs w:val="21"/>
        </w:rPr>
        <w:t>originály následujících dokumentů:</w:t>
      </w:r>
    </w:p>
    <w:p w:rsidR="00DC51D7" w:rsidRDefault="009D532E" w:rsidP="00310556">
      <w:pPr>
        <w:numPr>
          <w:ilvl w:val="2"/>
          <w:numId w:val="14"/>
        </w:numPr>
        <w:tabs>
          <w:tab w:val="left" w:pos="1080"/>
        </w:tabs>
        <w:ind w:left="1076"/>
        <w:jc w:val="both"/>
        <w:rPr>
          <w:sz w:val="21"/>
          <w:szCs w:val="21"/>
        </w:rPr>
      </w:pPr>
      <w:r>
        <w:rPr>
          <w:sz w:val="21"/>
          <w:szCs w:val="21"/>
        </w:rPr>
        <w:t>s</w:t>
      </w:r>
      <w:r w:rsidR="00127F87" w:rsidRPr="00395DE7">
        <w:rPr>
          <w:sz w:val="21"/>
          <w:szCs w:val="21"/>
        </w:rPr>
        <w:t>tavební deník;</w:t>
      </w:r>
    </w:p>
    <w:p w:rsidR="003C34E1" w:rsidRDefault="003C34E1" w:rsidP="009D532E">
      <w:pPr>
        <w:numPr>
          <w:ilvl w:val="2"/>
          <w:numId w:val="14"/>
        </w:numPr>
        <w:tabs>
          <w:tab w:val="left" w:pos="1080"/>
        </w:tabs>
        <w:ind w:left="1076"/>
        <w:jc w:val="both"/>
        <w:rPr>
          <w:sz w:val="21"/>
          <w:szCs w:val="21"/>
        </w:rPr>
      </w:pPr>
      <w:r>
        <w:rPr>
          <w:sz w:val="21"/>
          <w:szCs w:val="21"/>
        </w:rPr>
        <w:t>m</w:t>
      </w:r>
      <w:r w:rsidRPr="00DC735D">
        <w:rPr>
          <w:sz w:val="21"/>
          <w:szCs w:val="21"/>
        </w:rPr>
        <w:t>ostní list</w:t>
      </w:r>
      <w:r>
        <w:rPr>
          <w:sz w:val="21"/>
          <w:szCs w:val="21"/>
        </w:rPr>
        <w:t xml:space="preserve"> vč. výpočtu zatížitelnosti mostu </w:t>
      </w:r>
      <w:r w:rsidRPr="00DC735D">
        <w:rPr>
          <w:sz w:val="21"/>
          <w:szCs w:val="21"/>
        </w:rPr>
        <w:t>a záznam do BMS;</w:t>
      </w:r>
    </w:p>
    <w:p w:rsidR="00127F87" w:rsidRPr="00395DE7" w:rsidRDefault="009D532E" w:rsidP="00310556">
      <w:pPr>
        <w:numPr>
          <w:ilvl w:val="2"/>
          <w:numId w:val="14"/>
        </w:numPr>
        <w:tabs>
          <w:tab w:val="left" w:pos="1080"/>
        </w:tabs>
        <w:ind w:left="1076"/>
        <w:jc w:val="both"/>
        <w:rPr>
          <w:sz w:val="21"/>
          <w:szCs w:val="21"/>
        </w:rPr>
      </w:pPr>
      <w:r>
        <w:rPr>
          <w:sz w:val="21"/>
          <w:szCs w:val="21"/>
        </w:rPr>
        <w:t>z</w:t>
      </w:r>
      <w:r w:rsidR="00127F87" w:rsidRPr="00395DE7">
        <w:rPr>
          <w:sz w:val="21"/>
          <w:szCs w:val="21"/>
        </w:rPr>
        <w:t xml:space="preserve">áznam o hlavní prohlídce </w:t>
      </w:r>
      <w:r w:rsidR="00526E37">
        <w:rPr>
          <w:sz w:val="21"/>
          <w:szCs w:val="21"/>
        </w:rPr>
        <w:t>mostu</w:t>
      </w:r>
      <w:r w:rsidR="00BC1A93" w:rsidRPr="00395DE7">
        <w:rPr>
          <w:sz w:val="21"/>
          <w:szCs w:val="21"/>
        </w:rPr>
        <w:t xml:space="preserve"> </w:t>
      </w:r>
      <w:r w:rsidR="00127F87" w:rsidRPr="00395DE7">
        <w:rPr>
          <w:sz w:val="21"/>
          <w:szCs w:val="21"/>
        </w:rPr>
        <w:t>prováděné při uvedení stavb</w:t>
      </w:r>
      <w:r w:rsidR="00C13E27" w:rsidRPr="00395DE7">
        <w:rPr>
          <w:sz w:val="21"/>
          <w:szCs w:val="21"/>
        </w:rPr>
        <w:t>y do provozu</w:t>
      </w:r>
      <w:r w:rsidR="00732829">
        <w:rPr>
          <w:sz w:val="21"/>
          <w:szCs w:val="21"/>
        </w:rPr>
        <w:t xml:space="preserve"> včetně záznamu do BMS</w:t>
      </w:r>
      <w:r w:rsidR="00127F87" w:rsidRPr="00395DE7">
        <w:rPr>
          <w:sz w:val="21"/>
          <w:szCs w:val="21"/>
        </w:rPr>
        <w:t>;</w:t>
      </w:r>
    </w:p>
    <w:p w:rsidR="00127F87" w:rsidRPr="00395DE7" w:rsidRDefault="009D532E" w:rsidP="00310556">
      <w:pPr>
        <w:numPr>
          <w:ilvl w:val="2"/>
          <w:numId w:val="14"/>
        </w:numPr>
        <w:tabs>
          <w:tab w:val="left" w:pos="1080"/>
        </w:tabs>
        <w:ind w:left="1076"/>
        <w:jc w:val="both"/>
        <w:rPr>
          <w:sz w:val="21"/>
          <w:szCs w:val="21"/>
        </w:rPr>
      </w:pPr>
      <w:r>
        <w:rPr>
          <w:sz w:val="21"/>
          <w:szCs w:val="21"/>
        </w:rPr>
        <w:t>p</w:t>
      </w:r>
      <w:r w:rsidR="00127F87" w:rsidRPr="00395DE7">
        <w:rPr>
          <w:sz w:val="21"/>
          <w:szCs w:val="21"/>
        </w:rPr>
        <w:t>rotokoly o průběhu a výsledku veškerých zkoušek a revizí;</w:t>
      </w:r>
    </w:p>
    <w:p w:rsidR="00C13E27" w:rsidRPr="00395DE7" w:rsidRDefault="003C34E1" w:rsidP="00C13E27">
      <w:pPr>
        <w:numPr>
          <w:ilvl w:val="2"/>
          <w:numId w:val="14"/>
        </w:numPr>
        <w:tabs>
          <w:tab w:val="left" w:pos="1080"/>
        </w:tabs>
        <w:ind w:left="1076"/>
        <w:jc w:val="both"/>
        <w:rPr>
          <w:sz w:val="21"/>
          <w:szCs w:val="21"/>
        </w:rPr>
      </w:pPr>
      <w:r>
        <w:rPr>
          <w:sz w:val="21"/>
          <w:szCs w:val="21"/>
        </w:rPr>
        <w:t>c</w:t>
      </w:r>
      <w:r w:rsidR="00127F87" w:rsidRPr="00395DE7">
        <w:rPr>
          <w:sz w:val="21"/>
          <w:szCs w:val="21"/>
        </w:rPr>
        <w:t>ertifikáty a prohlášení o shodě použitých materiálů a výrobků;</w:t>
      </w:r>
    </w:p>
    <w:p w:rsidR="00766640" w:rsidRPr="00BE5799" w:rsidRDefault="00766640" w:rsidP="00AB1DF0">
      <w:pPr>
        <w:numPr>
          <w:ilvl w:val="2"/>
          <w:numId w:val="14"/>
        </w:numPr>
        <w:tabs>
          <w:tab w:val="left" w:pos="1080"/>
        </w:tabs>
        <w:ind w:left="1076"/>
        <w:jc w:val="both"/>
        <w:rPr>
          <w:sz w:val="21"/>
          <w:szCs w:val="21"/>
        </w:rPr>
      </w:pPr>
      <w:r w:rsidRPr="00BE5799">
        <w:rPr>
          <w:sz w:val="21"/>
          <w:szCs w:val="21"/>
        </w:rPr>
        <w:t>fotodokumentace provádění stavby, vč. fotodokumentace stavu blízkých nemovitých</w:t>
      </w:r>
      <w:r w:rsidR="001D2D1B" w:rsidRPr="00BE5799">
        <w:rPr>
          <w:sz w:val="21"/>
          <w:szCs w:val="21"/>
        </w:rPr>
        <w:t xml:space="preserve"> a DDZ</w:t>
      </w:r>
      <w:r w:rsidRPr="00BE5799">
        <w:rPr>
          <w:sz w:val="21"/>
          <w:szCs w:val="21"/>
        </w:rPr>
        <w:t xml:space="preserve"> - (mailem na adresu správce stavby nebo na nosiči USB flash disk). </w:t>
      </w:r>
    </w:p>
    <w:p w:rsidR="00127F87" w:rsidRPr="00395DE7" w:rsidRDefault="003C34E1" w:rsidP="00310556">
      <w:pPr>
        <w:numPr>
          <w:ilvl w:val="2"/>
          <w:numId w:val="14"/>
        </w:numPr>
        <w:tabs>
          <w:tab w:val="left" w:pos="1080"/>
        </w:tabs>
        <w:ind w:left="1076"/>
        <w:jc w:val="both"/>
        <w:rPr>
          <w:sz w:val="21"/>
          <w:szCs w:val="21"/>
        </w:rPr>
      </w:pPr>
      <w:r>
        <w:rPr>
          <w:sz w:val="21"/>
          <w:szCs w:val="21"/>
        </w:rPr>
        <w:t>d</w:t>
      </w:r>
      <w:r w:rsidR="00127F87" w:rsidRPr="00395DE7">
        <w:rPr>
          <w:sz w:val="21"/>
          <w:szCs w:val="21"/>
        </w:rPr>
        <w:t xml:space="preserve">oklady o likvidaci odpadu - minimální obsah dokladu je stanoven v odst. </w:t>
      </w:r>
      <w:r w:rsidR="00620187" w:rsidRPr="00395DE7">
        <w:rPr>
          <w:sz w:val="21"/>
          <w:szCs w:val="21"/>
        </w:rPr>
        <w:t>11</w:t>
      </w:r>
      <w:r w:rsidR="00127F87"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p w:rsidR="000B6F45" w:rsidRPr="000B6F45" w:rsidRDefault="000B6F45" w:rsidP="000B6F45">
      <w:pPr>
        <w:pStyle w:val="Odstavecseseznamem"/>
        <w:rPr>
          <w:sz w:val="21"/>
          <w:szCs w:val="21"/>
        </w:rPr>
      </w:pPr>
    </w:p>
    <w:p w:rsidR="000B6F45" w:rsidRPr="00766640" w:rsidRDefault="000B6F45" w:rsidP="000B6F45">
      <w:pPr>
        <w:pStyle w:val="Odstavecseseznamem"/>
        <w:tabs>
          <w:tab w:val="left" w:pos="1080"/>
        </w:tabs>
        <w:suppressAutoHyphens/>
        <w:spacing w:before="120" w:after="120"/>
        <w:ind w:left="1134"/>
        <w:jc w:val="both"/>
        <w:rPr>
          <w:sz w:val="21"/>
          <w:szCs w:val="21"/>
        </w:rPr>
      </w:pP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lastRenderedPageBreak/>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w:t>
      </w:r>
      <w:r w:rsidR="005B729F">
        <w:rPr>
          <w:sz w:val="21"/>
          <w:szCs w:val="21"/>
        </w:rPr>
        <w:t xml:space="preserve"> navrhovanou změnu odmítnout, a </w:t>
      </w:r>
      <w:r w:rsidRPr="00766640">
        <w:rPr>
          <w:sz w:val="21"/>
          <w:szCs w:val="21"/>
        </w:rPr>
        <w:t>to i opakovaně.</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766640" w:rsidRDefault="00766640" w:rsidP="00766640">
      <w:pPr>
        <w:pStyle w:val="Odstavecseseznamem"/>
        <w:rPr>
          <w:sz w:val="21"/>
          <w:szCs w:val="21"/>
        </w:rPr>
      </w:pPr>
    </w:p>
    <w:p w:rsidR="00766640" w:rsidRPr="00BE5799" w:rsidRDefault="00766640" w:rsidP="00AB1DF0">
      <w:pPr>
        <w:numPr>
          <w:ilvl w:val="1"/>
          <w:numId w:val="24"/>
        </w:numPr>
        <w:spacing w:before="120" w:after="120"/>
        <w:jc w:val="both"/>
        <w:rPr>
          <w:sz w:val="21"/>
          <w:szCs w:val="21"/>
        </w:rPr>
      </w:pPr>
      <w:r w:rsidRPr="00BE5799">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F45316" w:rsidRPr="00766640" w:rsidRDefault="00F45316" w:rsidP="00AB1DF0">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53618B" w:rsidRPr="00766640" w:rsidRDefault="0053618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udělit objednateli souhlas s předčasným užíváním stavby, nebo jejích jednotlivých úseků a uzavřít příslušnou dohodu v případě, že jej o to objednatel požádá.</w:t>
      </w:r>
    </w:p>
    <w:p w:rsidR="008D7CE9" w:rsidRPr="00766640" w:rsidRDefault="008D7CE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nese odpovědnost původce odpadů. Zhotovitel je povinen veškerý nepo</w:t>
      </w:r>
      <w:r w:rsidR="00975032" w:rsidRPr="00766640">
        <w:rPr>
          <w:sz w:val="21"/>
          <w:szCs w:val="21"/>
        </w:rPr>
        <w:t>užitelný materiál zlikvidovat v </w:t>
      </w:r>
      <w:r w:rsidRPr="00766640">
        <w:rPr>
          <w:sz w:val="21"/>
          <w:szCs w:val="21"/>
        </w:rPr>
        <w:t>souladu se zákonem o odpadech a projektovou dokumentací ke stavebnímu povolení a provedení stavby. Nepoužitelný materiál je materiál, který vznikl při provádění díla a není předmětem díla.</w:t>
      </w:r>
    </w:p>
    <w:p w:rsidR="006B245C" w:rsidRPr="00766640" w:rsidRDefault="006B245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Doklad o likvidaci odpadu bude obsahovat minimálně:</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příjemce odpadu včetně IČO.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původce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Datum a čas uložení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Registrační značka auta, které odpad přivezlo.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Původ odpadu (název stavby).</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Kód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či místo provozovny, kde se odpad ukládá.</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převzal.</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odevzdal.</w:t>
      </w:r>
    </w:p>
    <w:p w:rsidR="0027552B" w:rsidRPr="00766640" w:rsidRDefault="0027552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0E3C34" w:rsidRPr="00766640" w:rsidRDefault="00F857F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lastRenderedPageBreak/>
        <w:t>Zhotovitel se zavazuje ke vzájemn</w:t>
      </w:r>
      <w:r w:rsidR="00EA71CA" w:rsidRPr="00766640">
        <w:rPr>
          <w:sz w:val="21"/>
          <w:szCs w:val="21"/>
        </w:rPr>
        <w:t xml:space="preserve">é spolupráci a koordinaci při realizaci stavebních objektů </w:t>
      </w:r>
      <w:r w:rsidR="00E1481A">
        <w:rPr>
          <w:sz w:val="21"/>
          <w:szCs w:val="21"/>
        </w:rPr>
        <w:t>městysem Černá Hora</w:t>
      </w:r>
      <w:r w:rsidR="00EA71CA" w:rsidRPr="00766640">
        <w:rPr>
          <w:sz w:val="21"/>
          <w:szCs w:val="21"/>
        </w:rPr>
        <w:t xml:space="preserve"> a stavebních objektů SO </w:t>
      </w:r>
      <w:r w:rsidR="00B94489">
        <w:rPr>
          <w:sz w:val="21"/>
          <w:szCs w:val="21"/>
        </w:rPr>
        <w:t>102</w:t>
      </w:r>
      <w:bookmarkStart w:id="3" w:name="_GoBack"/>
      <w:bookmarkEnd w:id="3"/>
      <w:r w:rsidR="00D45F4E">
        <w:rPr>
          <w:sz w:val="21"/>
          <w:szCs w:val="21"/>
        </w:rPr>
        <w:t xml:space="preserve"> a SO </w:t>
      </w:r>
      <w:r w:rsidR="00E1481A">
        <w:rPr>
          <w:sz w:val="21"/>
          <w:szCs w:val="21"/>
        </w:rPr>
        <w:t>431</w:t>
      </w:r>
      <w:r w:rsidR="00732829">
        <w:rPr>
          <w:sz w:val="21"/>
          <w:szCs w:val="21"/>
        </w:rPr>
        <w:t xml:space="preserve"> a CETINEM SO 401.</w:t>
      </w:r>
    </w:p>
    <w:p w:rsidR="009D532E" w:rsidRPr="009D532E" w:rsidRDefault="009D532E" w:rsidP="009D532E">
      <w:pPr>
        <w:numPr>
          <w:ilvl w:val="0"/>
          <w:numId w:val="29"/>
        </w:numPr>
        <w:tabs>
          <w:tab w:val="clear" w:pos="720"/>
          <w:tab w:val="left" w:pos="540"/>
        </w:tabs>
        <w:spacing w:before="120" w:after="120"/>
        <w:ind w:left="540" w:hanging="540"/>
        <w:jc w:val="both"/>
        <w:rPr>
          <w:sz w:val="21"/>
          <w:szCs w:val="21"/>
        </w:rPr>
      </w:pPr>
      <w:r w:rsidRPr="009D532E">
        <w:rPr>
          <w:sz w:val="21"/>
          <w:szCs w:val="21"/>
        </w:rPr>
        <w:t>Zhotovitel bere na vědomí, že stavba bude prováděna</w:t>
      </w:r>
      <w:r w:rsidR="00732829">
        <w:rPr>
          <w:sz w:val="21"/>
          <w:szCs w:val="21"/>
        </w:rPr>
        <w:t xml:space="preserve"> po většinu doby za částečné uzavírky, úplná uzavírka s objízdnou trasou přes Žernovník je možná v délce cca 3 týdnů</w:t>
      </w:r>
      <w:r w:rsidRPr="009D532E">
        <w:rPr>
          <w:sz w:val="21"/>
          <w:szCs w:val="21"/>
        </w:rPr>
        <w:t>.</w:t>
      </w:r>
    </w:p>
    <w:p w:rsidR="00766640" w:rsidRPr="00E1481A" w:rsidRDefault="00766640" w:rsidP="00E1481A">
      <w:pPr>
        <w:numPr>
          <w:ilvl w:val="0"/>
          <w:numId w:val="29"/>
        </w:numPr>
        <w:tabs>
          <w:tab w:val="clear" w:pos="720"/>
          <w:tab w:val="left" w:pos="540"/>
        </w:tabs>
        <w:spacing w:before="120" w:after="120"/>
        <w:ind w:left="540" w:hanging="540"/>
        <w:jc w:val="both"/>
        <w:rPr>
          <w:sz w:val="21"/>
          <w:szCs w:val="21"/>
        </w:rPr>
      </w:pPr>
      <w:r w:rsidRPr="00E1481A">
        <w:rPr>
          <w:sz w:val="21"/>
          <w:szCs w:val="21"/>
        </w:rPr>
        <w:t xml:space="preserve">Zhotovitel je povinen při provádění stavebních prací dodržet veškeré požadavky dle vyjádření dotčených </w:t>
      </w:r>
      <w:r w:rsidR="00395DE7" w:rsidRPr="00E1481A">
        <w:rPr>
          <w:sz w:val="21"/>
          <w:szCs w:val="21"/>
        </w:rPr>
        <w:t xml:space="preserve">osob </w:t>
      </w:r>
      <w:r w:rsidRPr="00E1481A">
        <w:rPr>
          <w:sz w:val="21"/>
          <w:szCs w:val="21"/>
        </w:rPr>
        <w:t xml:space="preserve"> uvedené v dokladové části projektové dokumentace.</w:t>
      </w:r>
    </w:p>
    <w:p w:rsidR="00A564E1" w:rsidRPr="00766640" w:rsidRDefault="00A564E1" w:rsidP="00A564E1">
      <w:pPr>
        <w:pStyle w:val="Odstavecseseznamem"/>
        <w:spacing w:before="120" w:after="120"/>
        <w:ind w:left="786"/>
        <w:contextualSpacing w:val="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E1481A">
        <w:rPr>
          <w:sz w:val="21"/>
          <w:szCs w:val="21"/>
        </w:rPr>
        <w:t> městysem Černá Hora</w:t>
      </w:r>
      <w:r w:rsidR="00EA71CA" w:rsidRPr="00766640">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argumentovou nutnost změny lhůty plnění, i kd</w:t>
      </w:r>
      <w:r w:rsidR="00132CD8" w:rsidRPr="00766640">
        <w:rPr>
          <w:sz w:val="21"/>
          <w:szCs w:val="21"/>
        </w:rPr>
        <w:t>yby tato byla oprávněná dle čl. </w:t>
      </w:r>
      <w:r w:rsidRPr="00766640">
        <w:rPr>
          <w:sz w:val="21"/>
          <w:szCs w:val="21"/>
        </w:rPr>
        <w:t>VI.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Bude-li zhotovitel vyzván k podání nabídky související s touto smlouvou, je povinen nabídku předložit. Součástí nabídky bude oceněný soupis prací ve formátu *.pdf  a  ve formátu XC4 - *.xml.</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732829" w:rsidRDefault="00766640" w:rsidP="00766640">
      <w:pPr>
        <w:numPr>
          <w:ilvl w:val="1"/>
          <w:numId w:val="3"/>
        </w:numPr>
        <w:tabs>
          <w:tab w:val="clear" w:pos="810"/>
          <w:tab w:val="num" w:pos="900"/>
        </w:tabs>
        <w:spacing w:before="120" w:after="120"/>
        <w:ind w:left="900" w:hanging="360"/>
        <w:jc w:val="both"/>
        <w:rPr>
          <w:sz w:val="21"/>
          <w:szCs w:val="21"/>
        </w:rPr>
      </w:pPr>
      <w:r w:rsidRPr="00732829">
        <w:rPr>
          <w:sz w:val="21"/>
          <w:szCs w:val="21"/>
        </w:rPr>
        <w:t>Zhotovitel ocení dodatečné práce výší odpovídající výši jednotkových cen uvedených v rozpočtu (zhotovitelem oceněném soupisu prací), který je přílohou této smlouvy.</w:t>
      </w:r>
    </w:p>
    <w:p w:rsidR="00127F87"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p w:rsidR="00732829" w:rsidRPr="00766640"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lastRenderedPageBreak/>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732829">
              <w:rPr>
                <w:sz w:val="21"/>
                <w:szCs w:val="21"/>
              </w:rPr>
              <w:t>OTSKP</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souhlas s návrhem a převzít RDS;</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AB1DF0">
      <w:pPr>
        <w:numPr>
          <w:ilvl w:val="0"/>
          <w:numId w:val="17"/>
        </w:numPr>
        <w:spacing w:before="120" w:after="120"/>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lastRenderedPageBreak/>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A564E1" w:rsidRPr="00766640" w:rsidRDefault="00A564E1" w:rsidP="00A564E1">
      <w:pPr>
        <w:keepNext/>
        <w:keepLines/>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w:t>
      </w:r>
      <w:r w:rsidR="00A57BB7" w:rsidRPr="00766640">
        <w:rPr>
          <w:sz w:val="21"/>
          <w:szCs w:val="21"/>
        </w:rPr>
        <w:t xml:space="preserve">dce dodavatele. </w:t>
      </w: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3C34E1" w:rsidRPr="00766640" w:rsidTr="00403B46">
        <w:trPr>
          <w:trHeight w:val="437"/>
        </w:trPr>
        <w:tc>
          <w:tcPr>
            <w:tcW w:w="8712" w:type="dxa"/>
          </w:tcPr>
          <w:p w:rsidR="003C34E1" w:rsidRDefault="003C34E1" w:rsidP="003C34E1">
            <w:pPr>
              <w:tabs>
                <w:tab w:val="left" w:pos="432"/>
              </w:tabs>
              <w:spacing w:before="120" w:after="120"/>
              <w:ind w:left="432"/>
              <w:rPr>
                <w:sz w:val="21"/>
                <w:szCs w:val="21"/>
              </w:rPr>
            </w:pPr>
            <w:r>
              <w:rPr>
                <w:sz w:val="21"/>
                <w:szCs w:val="21"/>
              </w:rPr>
              <w:t>Záruka za veškerá plnění, není-li stanoveno jinak</w:t>
            </w:r>
          </w:p>
          <w:p w:rsidR="003C34E1" w:rsidRDefault="003C34E1" w:rsidP="003C34E1">
            <w:pPr>
              <w:tabs>
                <w:tab w:val="num" w:pos="432"/>
              </w:tabs>
              <w:spacing w:before="60"/>
              <w:ind w:left="432"/>
              <w:rPr>
                <w:sz w:val="21"/>
                <w:szCs w:val="21"/>
              </w:rPr>
            </w:pPr>
            <w:r w:rsidRPr="00BA6021">
              <w:rPr>
                <w:sz w:val="21"/>
                <w:szCs w:val="21"/>
              </w:rPr>
              <w:t>Mostní konstrukce (nosné a nenosné konstrukce a konstrukční části mostního objektu vč. izolací mostních konstrukcí)</w:t>
            </w:r>
          </w:p>
          <w:p w:rsidR="003C34E1" w:rsidRDefault="003C34E1" w:rsidP="003C34E1">
            <w:pPr>
              <w:tabs>
                <w:tab w:val="num" w:pos="432"/>
              </w:tabs>
              <w:spacing w:before="60"/>
              <w:ind w:left="432"/>
              <w:rPr>
                <w:sz w:val="21"/>
                <w:szCs w:val="21"/>
              </w:rPr>
            </w:pPr>
            <w:r w:rsidRPr="00E0429C">
              <w:rPr>
                <w:sz w:val="21"/>
                <w:szCs w:val="21"/>
              </w:rPr>
              <w:t>Vodorovné dopravní značení plastem</w:t>
            </w:r>
          </w:p>
        </w:tc>
        <w:tc>
          <w:tcPr>
            <w:tcW w:w="1334" w:type="dxa"/>
          </w:tcPr>
          <w:p w:rsidR="003C34E1" w:rsidRDefault="003C34E1" w:rsidP="003C34E1">
            <w:pPr>
              <w:tabs>
                <w:tab w:val="left" w:pos="72"/>
              </w:tabs>
              <w:spacing w:before="120" w:after="120"/>
              <w:ind w:left="72"/>
              <w:rPr>
                <w:sz w:val="21"/>
                <w:szCs w:val="21"/>
              </w:rPr>
            </w:pPr>
            <w:r>
              <w:rPr>
                <w:sz w:val="21"/>
                <w:szCs w:val="21"/>
              </w:rPr>
              <w:t xml:space="preserve">  60 měsíců</w:t>
            </w:r>
          </w:p>
          <w:p w:rsidR="003C34E1" w:rsidRDefault="003C34E1" w:rsidP="003C34E1">
            <w:pPr>
              <w:tabs>
                <w:tab w:val="left" w:pos="72"/>
              </w:tabs>
              <w:spacing w:before="120" w:after="120"/>
              <w:ind w:left="72"/>
              <w:rPr>
                <w:sz w:val="21"/>
                <w:szCs w:val="21"/>
              </w:rPr>
            </w:pPr>
            <w:r>
              <w:rPr>
                <w:sz w:val="21"/>
                <w:szCs w:val="21"/>
              </w:rPr>
              <w:t xml:space="preserve"> 120 měsíců</w:t>
            </w:r>
          </w:p>
          <w:p w:rsidR="003C34E1" w:rsidRDefault="003C34E1" w:rsidP="003C34E1">
            <w:pPr>
              <w:tabs>
                <w:tab w:val="left" w:pos="72"/>
              </w:tabs>
              <w:spacing w:before="120" w:after="120"/>
              <w:ind w:left="72"/>
              <w:rPr>
                <w:sz w:val="21"/>
                <w:szCs w:val="21"/>
              </w:rPr>
            </w:pPr>
            <w:r>
              <w:rPr>
                <w:sz w:val="21"/>
                <w:szCs w:val="21"/>
              </w:rPr>
              <w:t xml:space="preserve">  36 měsíců</w:t>
            </w:r>
          </w:p>
        </w:tc>
      </w:tr>
    </w:tbl>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V případě nesplnění povinností zhotovitele stanovených v č</w:t>
      </w:r>
      <w:r w:rsidR="00A57BB7" w:rsidRPr="00766640">
        <w:rPr>
          <w:sz w:val="21"/>
          <w:szCs w:val="21"/>
        </w:rPr>
        <w:t>l. X</w:t>
      </w:r>
      <w:r w:rsidRPr="00766640">
        <w:rPr>
          <w:sz w:val="21"/>
          <w:szCs w:val="21"/>
        </w:rPr>
        <w:t>. odst. 3. této smlouvy se prodlužuje záruka na všechna plnění související s nesplněním povinnosti na 1,3 násobek lhůty stanovené v odst. 4.1 tohoto článku pro toto plnění.</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převzetí díla vyjma geometrických plánů.</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3C34E1" w:rsidRPr="00766640" w:rsidRDefault="003C34E1" w:rsidP="003C34E1">
      <w:pPr>
        <w:tabs>
          <w:tab w:val="left" w:pos="900"/>
        </w:tabs>
        <w:suppressAutoHyphens/>
        <w:spacing w:before="120" w:after="120"/>
        <w:ind w:left="900"/>
        <w:jc w:val="both"/>
        <w:rPr>
          <w:sz w:val="21"/>
          <w:szCs w:val="21"/>
        </w:rPr>
      </w:pPr>
    </w:p>
    <w:p w:rsidR="001C23D8" w:rsidRPr="00766640" w:rsidRDefault="001C23D8" w:rsidP="001C23D8">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lastRenderedPageBreak/>
              <w:t>V případě prodlení zhotovitele s plněním této smlouvy oproti lhůtám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Pr="00766640">
              <w:rPr>
                <w:sz w:val="21"/>
                <w:szCs w:val="21"/>
              </w:rPr>
              <w:t xml:space="preserve"> </w:t>
            </w:r>
            <w:r w:rsidR="00A57BB7" w:rsidRPr="00766640">
              <w:rPr>
                <w:sz w:val="21"/>
                <w:szCs w:val="21"/>
              </w:rPr>
              <w:t>5</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A919AD">
            <w:pPr>
              <w:tabs>
                <w:tab w:val="left" w:pos="525"/>
              </w:tabs>
              <w:spacing w:before="120" w:after="120"/>
              <w:jc w:val="both"/>
              <w:rPr>
                <w:sz w:val="21"/>
                <w:szCs w:val="21"/>
              </w:rPr>
            </w:pPr>
            <w:r w:rsidRPr="00766640">
              <w:rPr>
                <w:sz w:val="21"/>
                <w:szCs w:val="21"/>
              </w:rPr>
              <w:t xml:space="preserve">           </w:t>
            </w:r>
            <w:r w:rsidR="003C34E1">
              <w:rPr>
                <w:sz w:val="21"/>
                <w:szCs w:val="21"/>
              </w:rPr>
              <w:t xml:space="preserve">  </w:t>
            </w: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plněním geometrického plánu proti lhůtě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rPr>
                <w:sz w:val="21"/>
                <w:szCs w:val="21"/>
              </w:rPr>
            </w:pPr>
            <w:r w:rsidRPr="00766640">
              <w:rPr>
                <w:sz w:val="21"/>
                <w:szCs w:val="21"/>
              </w:rPr>
              <w:t xml:space="preserve">     </w:t>
            </w:r>
            <w:r w:rsidR="00A57BB7" w:rsidRPr="00766640">
              <w:rPr>
                <w:sz w:val="21"/>
                <w:szCs w:val="21"/>
              </w:rPr>
              <w:t xml:space="preserve">    5</w:t>
            </w:r>
            <w:r w:rsidR="00A919AD" w:rsidRPr="00766640">
              <w:rPr>
                <w:sz w:val="21"/>
                <w:szCs w:val="21"/>
              </w:rPr>
              <w:t>00</w:t>
            </w:r>
            <w:r w:rsidRPr="00766640">
              <w:rPr>
                <w:sz w:val="21"/>
                <w:szCs w:val="21"/>
              </w:rPr>
              <w:t>,-Kč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403B46">
        <w:trPr>
          <w:trHeight w:val="90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.000,-Kč za   poddodavatele</w:t>
            </w:r>
          </w:p>
        </w:tc>
      </w:tr>
      <w:tr w:rsidR="001C23D8" w:rsidRPr="00766640" w:rsidTr="00403B46">
        <w:trPr>
          <w:trHeight w:val="908"/>
        </w:trPr>
        <w:tc>
          <w:tcPr>
            <w:tcW w:w="7294" w:type="dxa"/>
          </w:tcPr>
          <w:p w:rsidR="001C23D8" w:rsidRPr="00766640" w:rsidRDefault="001C23D8" w:rsidP="00807B8F">
            <w:pPr>
              <w:tabs>
                <w:tab w:val="left" w:pos="382"/>
              </w:tabs>
              <w:spacing w:before="120" w:after="120"/>
              <w:ind w:left="525"/>
              <w:jc w:val="both"/>
              <w:rPr>
                <w:sz w:val="21"/>
                <w:szCs w:val="21"/>
              </w:rPr>
            </w:pPr>
            <w:r w:rsidRPr="00766640">
              <w:rPr>
                <w:sz w:val="21"/>
                <w:szCs w:val="21"/>
              </w:rPr>
              <w:t xml:space="preserve">V případě nesplnění nápravných opatření navržených koordinátorem BOZP a odsouhlasených objednatelem ve lhůtě stanovené čl. </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 xml:space="preserve">V případě, že by porušení konkrétní povinností zhotovitele, znamenalo možnost uplatnit více sjednaných smluvních pokut, použije se pro takové porušení pouze jedna, a to </w:t>
      </w:r>
      <w:r w:rsidR="00395DE7">
        <w:rPr>
          <w:sz w:val="21"/>
          <w:szCs w:val="21"/>
        </w:rPr>
        <w:t>tu sjednanou pro konkrétní porušení povinnosti</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w:t>
      </w:r>
      <w:r w:rsidR="00732829">
        <w:rPr>
          <w:sz w:val="21"/>
          <w:szCs w:val="21"/>
        </w:rPr>
        <w:t xml:space="preserve"> případně faktura</w:t>
      </w:r>
      <w:r w:rsidRPr="00766640">
        <w:rPr>
          <w:sz w:val="21"/>
          <w:szCs w:val="21"/>
        </w:rPr>
        <w:t>, která bude doručena druhé smluvní s</w:t>
      </w:r>
      <w:r w:rsidR="00732829">
        <w:rPr>
          <w:sz w:val="21"/>
          <w:szCs w:val="21"/>
        </w:rPr>
        <w:t xml:space="preserve">traně. Splatnost smluvní   </w:t>
      </w:r>
      <w:r w:rsidRPr="00766640">
        <w:rPr>
          <w:sz w:val="21"/>
          <w:szCs w:val="21"/>
        </w:rPr>
        <w:t>pokuty je do 14 dnů o doručení písemné výzvy</w:t>
      </w:r>
      <w:r w:rsidR="00732829">
        <w:rPr>
          <w:sz w:val="21"/>
          <w:szCs w:val="21"/>
        </w:rPr>
        <w:t xml:space="preserve"> případně faktury</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D2D1B" w:rsidP="001D2D1B">
      <w:pPr>
        <w:numPr>
          <w:ilvl w:val="0"/>
          <w:numId w:val="18"/>
        </w:numPr>
        <w:tabs>
          <w:tab w:val="left" w:pos="709"/>
        </w:tabs>
        <w:suppressAutoHyphens/>
        <w:spacing w:before="120" w:after="120"/>
        <w:ind w:left="540" w:hanging="540"/>
        <w:jc w:val="both"/>
        <w:rPr>
          <w:sz w:val="21"/>
          <w:szCs w:val="21"/>
        </w:rPr>
      </w:pPr>
      <w:r>
        <w:rPr>
          <w:sz w:val="21"/>
          <w:szCs w:val="21"/>
        </w:rPr>
        <w:t xml:space="preserve"> </w:t>
      </w:r>
      <w:r w:rsidR="001C23D8"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D2D1B">
      <w:pPr>
        <w:numPr>
          <w:ilvl w:val="0"/>
          <w:numId w:val="18"/>
        </w:numPr>
        <w:tabs>
          <w:tab w:val="left" w:pos="709"/>
        </w:tabs>
        <w:suppressAutoHyphens/>
        <w:spacing w:before="120" w:after="120"/>
        <w:ind w:left="540" w:hanging="540"/>
        <w:jc w:val="both"/>
        <w:rPr>
          <w:sz w:val="21"/>
          <w:szCs w:val="21"/>
        </w:rPr>
      </w:pPr>
      <w:r w:rsidRPr="00766640">
        <w:rPr>
          <w:sz w:val="21"/>
          <w:szCs w:val="21"/>
        </w:rPr>
        <w:t>Bankovní záruka</w:t>
      </w:r>
    </w:p>
    <w:p w:rsidR="001C23D8" w:rsidRPr="00766640" w:rsidRDefault="001C23D8" w:rsidP="001C23D8">
      <w:pPr>
        <w:numPr>
          <w:ilvl w:val="1"/>
          <w:numId w:val="18"/>
        </w:numPr>
        <w:spacing w:before="120" w:after="120"/>
        <w:ind w:left="720"/>
        <w:jc w:val="both"/>
        <w:rPr>
          <w:sz w:val="21"/>
          <w:szCs w:val="21"/>
        </w:rPr>
      </w:pPr>
      <w:r w:rsidRPr="00766640">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766640" w:rsidRDefault="001C23D8" w:rsidP="001C23D8">
      <w:pPr>
        <w:numPr>
          <w:ilvl w:val="1"/>
          <w:numId w:val="18"/>
        </w:numPr>
        <w:spacing w:before="120" w:after="120"/>
        <w:ind w:left="720"/>
        <w:jc w:val="both"/>
        <w:rPr>
          <w:sz w:val="21"/>
          <w:szCs w:val="21"/>
        </w:rPr>
      </w:pPr>
      <w:r w:rsidRPr="00766640">
        <w:rPr>
          <w:sz w:val="21"/>
          <w:szCs w:val="21"/>
        </w:rPr>
        <w:t xml:space="preserve">Záruka bude vystavena na částku ve výši </w:t>
      </w:r>
      <w:r w:rsidR="00FA7631">
        <w:rPr>
          <w:b/>
          <w:sz w:val="21"/>
          <w:szCs w:val="21"/>
        </w:rPr>
        <w:t>58</w:t>
      </w:r>
      <w:r w:rsidR="00395DE7">
        <w:rPr>
          <w:b/>
          <w:sz w:val="21"/>
          <w:szCs w:val="21"/>
        </w:rPr>
        <w:t>0</w:t>
      </w:r>
      <w:r w:rsidRPr="00766640">
        <w:rPr>
          <w:b/>
          <w:sz w:val="21"/>
          <w:szCs w:val="21"/>
        </w:rPr>
        <w:t>.000,- Kč</w:t>
      </w:r>
      <w:r w:rsidRPr="00766640">
        <w:rPr>
          <w:sz w:val="21"/>
          <w:szCs w:val="21"/>
        </w:rPr>
        <w:t xml:space="preserve">. </w:t>
      </w:r>
    </w:p>
    <w:p w:rsidR="001C23D8" w:rsidRPr="00766640" w:rsidRDefault="001C23D8" w:rsidP="001C23D8">
      <w:pPr>
        <w:numPr>
          <w:ilvl w:val="1"/>
          <w:numId w:val="18"/>
        </w:numPr>
        <w:spacing w:before="120" w:after="120"/>
        <w:ind w:left="720"/>
        <w:jc w:val="both"/>
        <w:rPr>
          <w:sz w:val="21"/>
          <w:szCs w:val="21"/>
        </w:rPr>
      </w:pPr>
      <w:r w:rsidRPr="00766640">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Pr="00766640" w:rsidRDefault="001C23D8" w:rsidP="00AB1DF0">
      <w:pPr>
        <w:numPr>
          <w:ilvl w:val="1"/>
          <w:numId w:val="18"/>
        </w:numPr>
        <w:spacing w:before="120" w:after="120"/>
        <w:ind w:left="720"/>
        <w:jc w:val="both"/>
        <w:rPr>
          <w:sz w:val="21"/>
          <w:szCs w:val="21"/>
        </w:rPr>
      </w:pPr>
      <w:r w:rsidRPr="00766640">
        <w:rPr>
          <w:sz w:val="21"/>
          <w:szCs w:val="21"/>
        </w:rPr>
        <w:t>Záruka bude bezpodmínečná, neodvolatelná a bude vystavena na dobu odpovídající záruční lhůtě „Záruky za veškerá plnění, není-li stanoveno jinak“</w:t>
      </w:r>
      <w:r w:rsidR="00395DE7">
        <w:rPr>
          <w:sz w:val="21"/>
          <w:szCs w:val="21"/>
        </w:rPr>
        <w:t>+ 3 měsíce</w:t>
      </w:r>
      <w:r w:rsidRPr="00766640">
        <w:rPr>
          <w:sz w:val="21"/>
          <w:szCs w:val="21"/>
        </w:rPr>
        <w:t xml:space="preserve">, </w:t>
      </w:r>
      <w:r w:rsidR="00395DE7">
        <w:rPr>
          <w:sz w:val="21"/>
          <w:szCs w:val="21"/>
        </w:rPr>
        <w:t>tj. 63 měsíců</w:t>
      </w:r>
      <w:r w:rsidRPr="00766640">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732829" w:rsidRPr="00766640" w:rsidRDefault="00732829" w:rsidP="00AB1DF0">
      <w:pPr>
        <w:numPr>
          <w:ilvl w:val="2"/>
          <w:numId w:val="19"/>
        </w:numPr>
        <w:ind w:left="1076"/>
        <w:jc w:val="both"/>
        <w:rPr>
          <w:sz w:val="21"/>
          <w:szCs w:val="21"/>
        </w:rPr>
      </w:pPr>
      <w:r>
        <w:rPr>
          <w:sz w:val="21"/>
          <w:szCs w:val="21"/>
        </w:rPr>
        <w:lastRenderedPageBreak/>
        <w:t>Prodlení s převzetím staveniště o více než 15 dní;</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ust. § 223 zákona č. 134/2016 Sb., o zadávání veřejných zakázek.</w:t>
      </w:r>
    </w:p>
    <w:p w:rsidR="00395DE7" w:rsidRPr="00766640" w:rsidRDefault="000B6F45" w:rsidP="00AB1DF0">
      <w:pPr>
        <w:numPr>
          <w:ilvl w:val="2"/>
          <w:numId w:val="19"/>
        </w:numPr>
        <w:ind w:left="1076"/>
        <w:jc w:val="both"/>
        <w:rPr>
          <w:sz w:val="21"/>
          <w:szCs w:val="21"/>
        </w:rPr>
      </w:pPr>
      <w:r>
        <w:rPr>
          <w:sz w:val="21"/>
          <w:szCs w:val="21"/>
        </w:rPr>
        <w:t xml:space="preserve">Nesplnění povinnosti dle čl. X. </w:t>
      </w:r>
      <w:r w:rsidR="00732829">
        <w:rPr>
          <w:sz w:val="21"/>
          <w:szCs w:val="21"/>
        </w:rPr>
        <w:t>odst. 6 bodu 6.5</w:t>
      </w:r>
      <w:r w:rsidR="00DF7797">
        <w:rPr>
          <w:sz w:val="21"/>
          <w:szCs w:val="21"/>
        </w:rPr>
        <w:t xml:space="preserve"> této smlouvy</w:t>
      </w:r>
      <w:r w:rsidR="00395DE7">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Odstoupení musí být učiněno písemně a je účinné dnem jeho doručení druhé smluvní straně s účinky ex nunc.</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Tato smlouva se řídí českým právním řádem. Veškerá jednání o díle a jeho provádění, jednání vyplývající z uplatňování záruk</w:t>
      </w:r>
      <w:r w:rsidR="00CD2AB4" w:rsidRPr="00766640">
        <w:rPr>
          <w:sz w:val="21"/>
          <w:szCs w:val="21"/>
        </w:rPr>
        <w:t xml:space="preserve"> či bankovní záruky </w:t>
      </w:r>
      <w:r w:rsidRPr="00766640">
        <w:rPr>
          <w:sz w:val="21"/>
          <w:szCs w:val="21"/>
        </w:rPr>
        <w:t xml:space="preserve"> probíhají v jazyce českém.</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není oprávněn bez souhlasu objednatele postoupit práva a povinnosti vyplývající z této smlouvy třetí osobě. </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bere na vědomí, že je osobou povinnou spolupůsobit při výkonu finanční kontroly.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Písemně či písemný znamená: trvalý záznam psaný ručně, strojem, tištěný či elektronicky zhotovený.</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Pr>
          <w:sz w:val="21"/>
          <w:szCs w:val="21"/>
        </w:rPr>
        <w:t xml:space="preserve"> nebo odeslání datovou schránkou</w:t>
      </w:r>
      <w:r w:rsidRPr="00766640">
        <w:rPr>
          <w:sz w:val="21"/>
          <w:szCs w:val="21"/>
        </w:rPr>
        <w:t>. Za doručený se rovněž považuje i:</w:t>
      </w:r>
    </w:p>
    <w:p w:rsidR="00127F87"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V případě záznamu činěného objednatelem, záznam vyhotovený ve stavebním deníku.</w:t>
      </w:r>
    </w:p>
    <w:p w:rsidR="00FA3871"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 xml:space="preserve">V případě záznamu činěného zhotovitelem, záznam vyhotovený ve stavebním deníku zhotovitelem, který je datován a podepsán správcem stavby.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Tuto smlouvu lze měnit pouze písemně, formou oboustranně podepsaného dodatku k této smlouvě, není-li v této smlouvě stanoveno jinak.</w:t>
      </w:r>
    </w:p>
    <w:p w:rsidR="00A57BB7" w:rsidRPr="00766640" w:rsidRDefault="00A57BB7" w:rsidP="00A57BB7">
      <w:pPr>
        <w:widowControl w:val="0"/>
        <w:numPr>
          <w:ilvl w:val="6"/>
          <w:numId w:val="9"/>
        </w:numPr>
        <w:spacing w:before="120" w:after="120"/>
        <w:ind w:left="539" w:hanging="539"/>
        <w:jc w:val="both"/>
        <w:rPr>
          <w:sz w:val="21"/>
          <w:szCs w:val="21"/>
        </w:rPr>
      </w:pPr>
      <w:r w:rsidRPr="00766640">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CD2AB4" w:rsidRPr="00766640">
        <w:rPr>
          <w:sz w:val="21"/>
          <w:szCs w:val="21"/>
        </w:rPr>
        <w:t xml:space="preserve">nebo zástupce stavbyvedoucího </w:t>
      </w:r>
      <w:r w:rsidRPr="00766640">
        <w:rPr>
          <w:sz w:val="21"/>
          <w:szCs w:val="21"/>
        </w:rPr>
        <w:t xml:space="preserve">v příloze č. 5 lze tuto provést pouze s předchozím písemným souhlasem objednatele. </w:t>
      </w:r>
    </w:p>
    <w:p w:rsidR="000D4DF1" w:rsidRPr="00766640" w:rsidRDefault="00127F87" w:rsidP="00993D5F">
      <w:pPr>
        <w:widowControl w:val="0"/>
        <w:numPr>
          <w:ilvl w:val="6"/>
          <w:numId w:val="9"/>
        </w:numPr>
        <w:spacing w:before="120" w:after="120"/>
        <w:ind w:left="539" w:hanging="539"/>
        <w:rPr>
          <w:sz w:val="21"/>
          <w:szCs w:val="21"/>
        </w:rPr>
      </w:pPr>
      <w:r w:rsidRPr="00766640">
        <w:rPr>
          <w:sz w:val="21"/>
          <w:szCs w:val="21"/>
        </w:rPr>
        <w:t>Tato smlouva je uzavřena dnem podpisu druhou smluvní stranou. Smlouva nabývá účinnost zveřejněním v re</w:t>
      </w:r>
      <w:r w:rsidR="003E6813" w:rsidRPr="00766640">
        <w:rPr>
          <w:sz w:val="21"/>
          <w:szCs w:val="21"/>
        </w:rPr>
        <w:t>gistru smluv dle odst. 12</w:t>
      </w:r>
      <w:r w:rsidRPr="00766640">
        <w:rPr>
          <w:sz w:val="21"/>
          <w:szCs w:val="21"/>
        </w:rPr>
        <w:t xml:space="preserve">. tohoto článku.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766640" w:rsidRDefault="004B70C3" w:rsidP="00993D5F">
      <w:pPr>
        <w:widowControl w:val="0"/>
        <w:numPr>
          <w:ilvl w:val="6"/>
          <w:numId w:val="9"/>
        </w:numPr>
        <w:spacing w:before="120" w:after="120"/>
        <w:ind w:left="539" w:hanging="539"/>
        <w:rPr>
          <w:sz w:val="21"/>
          <w:szCs w:val="21"/>
        </w:rPr>
      </w:pPr>
      <w:r w:rsidRPr="00766640">
        <w:rPr>
          <w:sz w:val="21"/>
          <w:szCs w:val="21"/>
        </w:rPr>
        <w:t xml:space="preserve"> Smluvní strany se dohodly, že na jejich vztah upravený touto smlouvou se neužijí ustanovení § 1921, § 1976, § 1978, § 2112, § 2364 odst. 2, § 2595, § 2604, § 2605 odst. 1 věty první, § 2606, § 2609, §</w:t>
      </w:r>
      <w:r w:rsidR="00332D7F" w:rsidRPr="00766640">
        <w:rPr>
          <w:sz w:val="21"/>
          <w:szCs w:val="21"/>
        </w:rPr>
        <w:t xml:space="preserve"> 2611 § 2618, § 2620, § 2621, § </w:t>
      </w:r>
      <w:r w:rsidR="00732829">
        <w:rPr>
          <w:sz w:val="21"/>
          <w:szCs w:val="21"/>
        </w:rPr>
        <w:t xml:space="preserve">2622 </w:t>
      </w:r>
      <w:r w:rsidRPr="00766640">
        <w:rPr>
          <w:sz w:val="21"/>
          <w:szCs w:val="21"/>
        </w:rPr>
        <w:t>a § 2629 odst. 1 občanského zákoníku.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B70C3" w:rsidRDefault="004B70C3" w:rsidP="00975032">
      <w:pPr>
        <w:keepNext/>
        <w:keepLines/>
        <w:numPr>
          <w:ilvl w:val="6"/>
          <w:numId w:val="9"/>
        </w:numPr>
        <w:spacing w:before="120" w:after="120"/>
        <w:ind w:left="539" w:hanging="539"/>
        <w:jc w:val="both"/>
        <w:rPr>
          <w:sz w:val="21"/>
          <w:szCs w:val="21"/>
        </w:rPr>
      </w:pPr>
      <w:r w:rsidRPr="00766640">
        <w:rPr>
          <w:sz w:val="21"/>
          <w:szCs w:val="21"/>
        </w:rPr>
        <w:t>Tato smlouva podléhá povinnosti zveřejnění dle zákona č. 340/2015 Sb.</w:t>
      </w:r>
      <w:r w:rsidR="00395DE7" w:rsidRPr="008550C3">
        <w:rPr>
          <w:sz w:val="21"/>
          <w:szCs w:val="21"/>
        </w:rPr>
        <w:t>o zvláštních podmínkách účinnosti některých smluv, uveřejňování těchto smluv a o registru smluv (zákon o registru smluv)</w:t>
      </w:r>
      <w:r w:rsidRPr="00766640">
        <w:rPr>
          <w:sz w:val="21"/>
          <w:szCs w:val="21"/>
        </w:rPr>
        <w:t>, ve znění pozdějších předpisů. Uveřejnění smlouvy zajišťuje objednatel. Zhotovitel označil tyto jmenovitě uvedená data za citlivá nebo obchodní tajemství, která nepodléhají zveřejnění:</w:t>
      </w:r>
      <w:r w:rsidRPr="00766640">
        <w:rPr>
          <w:sz w:val="21"/>
          <w:szCs w:val="21"/>
          <w:highlight w:val="yellow"/>
        </w:rPr>
        <w:t>…………………</w:t>
      </w:r>
      <w:r w:rsidRPr="00766640">
        <w:rPr>
          <w:sz w:val="21"/>
          <w:szCs w:val="21"/>
        </w:rPr>
        <w:t xml:space="preserve"> Zhotovitel si ověří před zahájením plnění dle této smlouvy její uveřejnění v registru smluv.</w:t>
      </w:r>
    </w:p>
    <w:p w:rsidR="00AB1DF0" w:rsidRPr="0008756A" w:rsidRDefault="00AB1DF0" w:rsidP="00AB1DF0">
      <w:pPr>
        <w:keepNext/>
        <w:keepLines/>
        <w:numPr>
          <w:ilvl w:val="6"/>
          <w:numId w:val="9"/>
        </w:numPr>
        <w:tabs>
          <w:tab w:val="num" w:pos="540"/>
        </w:tabs>
        <w:spacing w:before="120" w:after="120"/>
        <w:ind w:left="539" w:hanging="539"/>
        <w:jc w:val="both"/>
        <w:rPr>
          <w:sz w:val="22"/>
          <w:szCs w:val="22"/>
        </w:rPr>
      </w:pPr>
      <w:r w:rsidRPr="0008756A">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FA1ECD" w:rsidRPr="00766640" w:rsidRDefault="00FA1ECD" w:rsidP="00FA1ECD">
      <w:pPr>
        <w:contextualSpacing/>
        <w:jc w:val="both"/>
        <w:rPr>
          <w:sz w:val="21"/>
          <w:szCs w:val="21"/>
        </w:rPr>
      </w:pPr>
    </w:p>
    <w:p w:rsidR="00127F87" w:rsidRPr="00766640" w:rsidRDefault="001C23D8" w:rsidP="00975032">
      <w:pPr>
        <w:pStyle w:val="Odstavecseseznamem"/>
        <w:numPr>
          <w:ilvl w:val="6"/>
          <w:numId w:val="9"/>
        </w:numPr>
        <w:spacing w:before="120" w:after="120"/>
        <w:ind w:left="426" w:hanging="426"/>
        <w:jc w:val="both"/>
        <w:rPr>
          <w:sz w:val="21"/>
          <w:szCs w:val="21"/>
        </w:rPr>
      </w:pPr>
      <w:r w:rsidRPr="00766640">
        <w:rPr>
          <w:sz w:val="21"/>
          <w:szCs w:val="21"/>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F32716" w:rsidRPr="002F4961" w:rsidRDefault="00F32716" w:rsidP="00F32716">
      <w:pPr>
        <w:tabs>
          <w:tab w:val="center" w:pos="4536"/>
          <w:tab w:val="right" w:pos="9072"/>
        </w:tabs>
        <w:spacing w:after="120"/>
        <w:jc w:val="both"/>
        <w:outlineLvl w:val="0"/>
        <w:rPr>
          <w:b/>
          <w:bCs/>
          <w:smallCaps/>
          <w:sz w:val="21"/>
          <w:szCs w:val="21"/>
        </w:rPr>
      </w:pPr>
      <w:r w:rsidRPr="002F4961">
        <w:rPr>
          <w:b/>
          <w:bCs/>
          <w:smallCaps/>
          <w:sz w:val="21"/>
          <w:szCs w:val="21"/>
        </w:rPr>
        <w:t xml:space="preserve">Správce stavby </w:t>
      </w:r>
    </w:p>
    <w:p w:rsidR="00F32716" w:rsidRDefault="00F32716" w:rsidP="00F32716">
      <w:pPr>
        <w:tabs>
          <w:tab w:val="center" w:pos="4536"/>
          <w:tab w:val="right" w:pos="9072"/>
        </w:tabs>
        <w:spacing w:after="120"/>
        <w:jc w:val="both"/>
        <w:outlineLvl w:val="0"/>
        <w:rPr>
          <w:bCs/>
          <w:sz w:val="21"/>
          <w:szCs w:val="21"/>
        </w:rPr>
      </w:pPr>
      <w:r w:rsidRPr="00594C5E">
        <w:rPr>
          <w:bCs/>
          <w:sz w:val="21"/>
          <w:szCs w:val="21"/>
        </w:rPr>
        <w:t xml:space="preserve">Ing. </w:t>
      </w:r>
      <w:r>
        <w:rPr>
          <w:bCs/>
          <w:sz w:val="21"/>
          <w:szCs w:val="21"/>
        </w:rPr>
        <w:t>Daniel Hynk</w:t>
      </w:r>
      <w:r w:rsidRPr="00594C5E">
        <w:rPr>
          <w:bCs/>
          <w:sz w:val="21"/>
          <w:szCs w:val="21"/>
        </w:rPr>
        <w:t>, vedoucí</w:t>
      </w:r>
      <w:r>
        <w:rPr>
          <w:bCs/>
          <w:sz w:val="21"/>
          <w:szCs w:val="21"/>
        </w:rPr>
        <w:t xml:space="preserve"> IÚ oblasti Sever</w:t>
      </w:r>
    </w:p>
    <w:p w:rsidR="00F32716" w:rsidRPr="00594C5E" w:rsidRDefault="00F32716" w:rsidP="00F32716">
      <w:pPr>
        <w:tabs>
          <w:tab w:val="center" w:pos="4536"/>
          <w:tab w:val="right" w:pos="9072"/>
        </w:tabs>
        <w:spacing w:after="120"/>
        <w:jc w:val="both"/>
        <w:outlineLvl w:val="0"/>
        <w:rPr>
          <w:bCs/>
          <w:sz w:val="21"/>
          <w:szCs w:val="21"/>
        </w:rPr>
      </w:pPr>
      <w:r w:rsidRPr="00594C5E">
        <w:rPr>
          <w:bCs/>
          <w:sz w:val="21"/>
          <w:szCs w:val="21"/>
        </w:rPr>
        <w:t xml:space="preserve">e-mail: </w:t>
      </w:r>
      <w:hyperlink r:id="rId11" w:history="1">
        <w:r w:rsidRPr="00D519CF">
          <w:rPr>
            <w:rStyle w:val="Hypertextovodkaz"/>
            <w:bCs/>
            <w:sz w:val="21"/>
            <w:szCs w:val="21"/>
          </w:rPr>
          <w:t>daniel.hynk@susjmk.cz</w:t>
        </w:r>
      </w:hyperlink>
      <w:r w:rsidRPr="00594C5E">
        <w:rPr>
          <w:bCs/>
          <w:sz w:val="21"/>
          <w:szCs w:val="21"/>
        </w:rPr>
        <w:t>, tel: +</w:t>
      </w:r>
      <w:r w:rsidRPr="00BA180E">
        <w:rPr>
          <w:bCs/>
          <w:sz w:val="21"/>
          <w:szCs w:val="21"/>
        </w:rPr>
        <w:t>420</w:t>
      </w:r>
      <w:r>
        <w:rPr>
          <w:bCs/>
          <w:sz w:val="21"/>
          <w:szCs w:val="21"/>
        </w:rPr>
        <w:t> 739 480 187</w:t>
      </w:r>
    </w:p>
    <w:p w:rsidR="00F32716" w:rsidRPr="002F4961" w:rsidRDefault="00F32716" w:rsidP="00F32716">
      <w:pPr>
        <w:tabs>
          <w:tab w:val="center" w:pos="4536"/>
          <w:tab w:val="right" w:pos="9072"/>
        </w:tabs>
        <w:spacing w:after="120"/>
        <w:jc w:val="both"/>
        <w:outlineLvl w:val="0"/>
        <w:rPr>
          <w:b/>
          <w:bCs/>
          <w:smallCaps/>
          <w:sz w:val="21"/>
          <w:szCs w:val="21"/>
        </w:rPr>
      </w:pPr>
    </w:p>
    <w:p w:rsidR="00F32716" w:rsidRPr="002F4961" w:rsidRDefault="00F32716" w:rsidP="00F32716">
      <w:pPr>
        <w:tabs>
          <w:tab w:val="center" w:pos="4536"/>
          <w:tab w:val="right" w:pos="9072"/>
        </w:tabs>
        <w:spacing w:after="120"/>
        <w:jc w:val="both"/>
        <w:outlineLvl w:val="0"/>
        <w:rPr>
          <w:b/>
          <w:bCs/>
          <w:smallCaps/>
          <w:sz w:val="21"/>
          <w:szCs w:val="21"/>
        </w:rPr>
      </w:pPr>
      <w:r w:rsidRPr="002F4961">
        <w:rPr>
          <w:b/>
          <w:bCs/>
          <w:smallCaps/>
          <w:sz w:val="21"/>
          <w:szCs w:val="21"/>
        </w:rPr>
        <w:t>Technický dozor investora</w:t>
      </w:r>
    </w:p>
    <w:p w:rsidR="00F32716" w:rsidRPr="003F32CE" w:rsidRDefault="00D73EEA" w:rsidP="00F32716">
      <w:pPr>
        <w:tabs>
          <w:tab w:val="center" w:pos="4536"/>
          <w:tab w:val="right" w:pos="9072"/>
        </w:tabs>
        <w:spacing w:after="120"/>
        <w:jc w:val="both"/>
        <w:outlineLvl w:val="0"/>
        <w:rPr>
          <w:bCs/>
          <w:color w:val="000000" w:themeColor="text1"/>
          <w:sz w:val="21"/>
          <w:szCs w:val="21"/>
        </w:rPr>
      </w:pPr>
      <w:r>
        <w:rPr>
          <w:color w:val="000000" w:themeColor="text1"/>
          <w:sz w:val="21"/>
          <w:szCs w:val="21"/>
        </w:rPr>
        <w:t>Zuzana Mlčochová</w:t>
      </w:r>
      <w:r w:rsidR="00F32716" w:rsidRPr="003F32CE">
        <w:rPr>
          <w:color w:val="000000" w:themeColor="text1"/>
          <w:sz w:val="21"/>
          <w:szCs w:val="21"/>
        </w:rPr>
        <w:t xml:space="preserve">, </w:t>
      </w:r>
      <w:r w:rsidR="00F32716">
        <w:rPr>
          <w:color w:val="000000" w:themeColor="text1"/>
          <w:sz w:val="21"/>
          <w:szCs w:val="21"/>
        </w:rPr>
        <w:t xml:space="preserve">příprava a realizace staveb </w:t>
      </w:r>
      <w:r w:rsidR="00F32716">
        <w:rPr>
          <w:bCs/>
          <w:sz w:val="21"/>
          <w:szCs w:val="21"/>
        </w:rPr>
        <w:t>IÚ oblasti Sever</w:t>
      </w:r>
    </w:p>
    <w:p w:rsidR="00F32716" w:rsidRDefault="00F32716" w:rsidP="00F32716">
      <w:pPr>
        <w:pStyle w:val="Zhlav"/>
        <w:spacing w:after="120"/>
        <w:jc w:val="both"/>
        <w:outlineLvl w:val="0"/>
        <w:rPr>
          <w:bCs/>
          <w:color w:val="000000" w:themeColor="text1"/>
          <w:sz w:val="21"/>
          <w:szCs w:val="21"/>
        </w:rPr>
      </w:pPr>
      <w:r w:rsidRPr="003F32CE">
        <w:rPr>
          <w:bCs/>
          <w:color w:val="000000" w:themeColor="text1"/>
          <w:sz w:val="21"/>
          <w:szCs w:val="21"/>
        </w:rPr>
        <w:t xml:space="preserve">e-mail: </w:t>
      </w:r>
      <w:r w:rsidR="00D73EEA">
        <w:rPr>
          <w:bCs/>
          <w:color w:val="000000" w:themeColor="text1"/>
          <w:sz w:val="21"/>
          <w:szCs w:val="21"/>
          <w:lang w:val="cs-CZ"/>
        </w:rPr>
        <w:t>zuzana.mlcochova</w:t>
      </w:r>
      <w:r w:rsidRPr="003F32CE">
        <w:rPr>
          <w:bCs/>
          <w:color w:val="000000" w:themeColor="text1"/>
          <w:sz w:val="21"/>
          <w:szCs w:val="21"/>
        </w:rPr>
        <w:t>@susjmk.cz, tel: +420</w:t>
      </w:r>
      <w:r w:rsidR="00D73EEA">
        <w:rPr>
          <w:bCs/>
          <w:color w:val="000000" w:themeColor="text1"/>
          <w:sz w:val="21"/>
          <w:szCs w:val="21"/>
        </w:rPr>
        <w:t> </w:t>
      </w:r>
      <w:r w:rsidR="00D73EEA">
        <w:rPr>
          <w:bCs/>
          <w:color w:val="000000" w:themeColor="text1"/>
          <w:sz w:val="21"/>
          <w:szCs w:val="21"/>
          <w:lang w:val="cs-CZ"/>
        </w:rPr>
        <w:t>734 892 161</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9448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9448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9448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94489">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94489">
              <w:rPr>
                <w:sz w:val="20"/>
              </w:rPr>
            </w:r>
            <w:r w:rsidR="00B94489">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94489">
              <w:rPr>
                <w:sz w:val="22"/>
              </w:rPr>
            </w:r>
            <w:r w:rsidR="00B94489">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B94489">
              <w:rPr>
                <w:sz w:val="22"/>
              </w:rPr>
            </w:r>
            <w:r w:rsidR="00B94489">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3"/>
      <w:footerReference w:type="default" r:id="rId14"/>
      <w:headerReference w:type="first" r:id="rId15"/>
      <w:footerReference w:type="first" r:id="rId16"/>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01D" w:rsidRDefault="0055701D" w:rsidP="00127F87">
      <w:r>
        <w:separator/>
      </w:r>
    </w:p>
  </w:endnote>
  <w:endnote w:type="continuationSeparator" w:id="0">
    <w:p w:rsidR="0055701D" w:rsidRDefault="0055701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01D" w:rsidRPr="000A7553" w:rsidRDefault="0055701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94489">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94489">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01D" w:rsidRPr="006D1D93" w:rsidRDefault="0055701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9448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94489">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01D" w:rsidRDefault="0055701D" w:rsidP="00127F87">
      <w:r>
        <w:separator/>
      </w:r>
    </w:p>
  </w:footnote>
  <w:footnote w:type="continuationSeparator" w:id="0">
    <w:p w:rsidR="0055701D" w:rsidRDefault="0055701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55701D" w:rsidRPr="00102C96" w:rsidTr="00127F87">
      <w:tc>
        <w:tcPr>
          <w:tcW w:w="9468" w:type="dxa"/>
        </w:tcPr>
        <w:p w:rsidR="0055701D" w:rsidRPr="00700F92" w:rsidRDefault="000B6F45" w:rsidP="005066B6">
          <w:pPr>
            <w:tabs>
              <w:tab w:val="left" w:pos="810"/>
            </w:tabs>
            <w:rPr>
              <w:b/>
              <w:spacing w:val="20"/>
              <w:sz w:val="21"/>
              <w:szCs w:val="21"/>
            </w:rPr>
          </w:pPr>
          <w:r w:rsidRPr="000B6F45">
            <w:rPr>
              <w:b/>
              <w:bCs/>
              <w:i/>
              <w:smallCaps/>
              <w:spacing w:val="30"/>
              <w:sz w:val="16"/>
              <w:szCs w:val="16"/>
              <w:lang w:val="en-US"/>
            </w:rPr>
            <w:t>III/37720 ČERNÁ HORA, MOST 37720-1</w:t>
          </w:r>
        </w:p>
      </w:tc>
    </w:tr>
  </w:tbl>
  <w:p w:rsidR="0055701D" w:rsidRPr="000A7553" w:rsidRDefault="0055701D"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55701D" w:rsidRPr="000A7553" w:rsidRDefault="0055701D"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55701D" w:rsidRPr="00102C96">
      <w:tc>
        <w:tcPr>
          <w:tcW w:w="9468" w:type="dxa"/>
          <w:gridSpan w:val="2"/>
        </w:tcPr>
        <w:p w:rsidR="0055701D" w:rsidRPr="00127F87" w:rsidRDefault="0055701D" w:rsidP="005066B6">
          <w:pPr>
            <w:tabs>
              <w:tab w:val="left" w:pos="810"/>
            </w:tabs>
            <w:rPr>
              <w:b/>
              <w:i/>
              <w:spacing w:val="20"/>
              <w:sz w:val="21"/>
              <w:szCs w:val="21"/>
            </w:rPr>
          </w:pPr>
          <w:r w:rsidRPr="00B1278B">
            <w:rPr>
              <w:b/>
              <w:bCs/>
              <w:i/>
              <w:smallCaps/>
              <w:spacing w:val="30"/>
              <w:sz w:val="16"/>
              <w:szCs w:val="16"/>
              <w:lang w:val="en-US"/>
            </w:rPr>
            <w:t>III/37720 ČERNÁ HORA, MOST 37720-1</w:t>
          </w:r>
        </w:p>
      </w:tc>
    </w:tr>
    <w:tr w:rsidR="0055701D" w:rsidRPr="00102C96">
      <w:tc>
        <w:tcPr>
          <w:tcW w:w="4788" w:type="dxa"/>
        </w:tcPr>
        <w:p w:rsidR="0055701D" w:rsidRPr="00102C96" w:rsidRDefault="0055701D" w:rsidP="00127F87">
          <w:pPr>
            <w:jc w:val="both"/>
            <w:rPr>
              <w:sz w:val="21"/>
              <w:szCs w:val="21"/>
            </w:rPr>
          </w:pPr>
          <w:r w:rsidRPr="00102C96">
            <w:rPr>
              <w:sz w:val="21"/>
              <w:szCs w:val="21"/>
            </w:rPr>
            <w:t>Číslo smlouvy objednatele</w:t>
          </w:r>
        </w:p>
      </w:tc>
      <w:tc>
        <w:tcPr>
          <w:tcW w:w="4680" w:type="dxa"/>
        </w:tcPr>
        <w:p w:rsidR="0055701D" w:rsidRPr="00102C96" w:rsidRDefault="0055701D" w:rsidP="00127F87">
          <w:pPr>
            <w:ind w:left="34"/>
            <w:jc w:val="right"/>
            <w:rPr>
              <w:sz w:val="21"/>
              <w:szCs w:val="21"/>
            </w:rPr>
          </w:pPr>
          <w:r w:rsidRPr="00102C96">
            <w:rPr>
              <w:sz w:val="21"/>
              <w:szCs w:val="21"/>
            </w:rPr>
            <w:t xml:space="preserve">Číslo smlouvy zhotovitele    </w:t>
          </w:r>
        </w:p>
      </w:tc>
    </w:tr>
  </w:tbl>
  <w:p w:rsidR="0055701D" w:rsidRDefault="005570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6"/>
  </w:num>
  <w:num w:numId="3">
    <w:abstractNumId w:val="20"/>
  </w:num>
  <w:num w:numId="4">
    <w:abstractNumId w:val="7"/>
  </w:num>
  <w:num w:numId="5">
    <w:abstractNumId w:val="26"/>
  </w:num>
  <w:num w:numId="6">
    <w:abstractNumId w:val="15"/>
  </w:num>
  <w:num w:numId="7">
    <w:abstractNumId w:val="18"/>
  </w:num>
  <w:num w:numId="8">
    <w:abstractNumId w:val="30"/>
  </w:num>
  <w:num w:numId="9">
    <w:abstractNumId w:val="33"/>
  </w:num>
  <w:num w:numId="10">
    <w:abstractNumId w:val="6"/>
  </w:num>
  <w:num w:numId="11">
    <w:abstractNumId w:val="8"/>
  </w:num>
  <w:num w:numId="12">
    <w:abstractNumId w:val="5"/>
  </w:num>
  <w:num w:numId="13">
    <w:abstractNumId w:val="31"/>
  </w:num>
  <w:num w:numId="14">
    <w:abstractNumId w:val="21"/>
  </w:num>
  <w:num w:numId="15">
    <w:abstractNumId w:val="24"/>
  </w:num>
  <w:num w:numId="16">
    <w:abstractNumId w:val="28"/>
  </w:num>
  <w:num w:numId="17">
    <w:abstractNumId w:val="27"/>
  </w:num>
  <w:num w:numId="18">
    <w:abstractNumId w:val="1"/>
  </w:num>
  <w:num w:numId="19">
    <w:abstractNumId w:val="2"/>
  </w:num>
  <w:num w:numId="20">
    <w:abstractNumId w:val="0"/>
  </w:num>
  <w:num w:numId="21">
    <w:abstractNumId w:val="23"/>
  </w:num>
  <w:num w:numId="22">
    <w:abstractNumId w:val="2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 w:numId="26">
    <w:abstractNumId w:val="3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0"/>
  </w:num>
  <w:num w:numId="31">
    <w:abstractNumId w:val="11"/>
  </w:num>
  <w:num w:numId="32">
    <w:abstractNumId w:val="3"/>
  </w:num>
  <w:num w:numId="33">
    <w:abstractNumId w:val="17"/>
  </w:num>
  <w:num w:numId="34">
    <w:abstractNumId w:val="9"/>
  </w:num>
  <w:num w:numId="35">
    <w:abstractNumId w:val="22"/>
  </w:num>
  <w:num w:numId="36">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1ADA"/>
    <w:rsid w:val="00016313"/>
    <w:rsid w:val="00016E75"/>
    <w:rsid w:val="000231E0"/>
    <w:rsid w:val="0002337E"/>
    <w:rsid w:val="00027542"/>
    <w:rsid w:val="00035430"/>
    <w:rsid w:val="00042498"/>
    <w:rsid w:val="00085E40"/>
    <w:rsid w:val="000B4D5D"/>
    <w:rsid w:val="000B5882"/>
    <w:rsid w:val="000B6F45"/>
    <w:rsid w:val="000C096C"/>
    <w:rsid w:val="000C138C"/>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B5FF4"/>
    <w:rsid w:val="001C23D8"/>
    <w:rsid w:val="001C40B1"/>
    <w:rsid w:val="001D2D1B"/>
    <w:rsid w:val="00230612"/>
    <w:rsid w:val="00245BBB"/>
    <w:rsid w:val="0027552B"/>
    <w:rsid w:val="00276AA3"/>
    <w:rsid w:val="00276B2C"/>
    <w:rsid w:val="002B4FEA"/>
    <w:rsid w:val="002C4AEC"/>
    <w:rsid w:val="002E691F"/>
    <w:rsid w:val="002F4903"/>
    <w:rsid w:val="00302B9A"/>
    <w:rsid w:val="00310556"/>
    <w:rsid w:val="00313E79"/>
    <w:rsid w:val="0032462B"/>
    <w:rsid w:val="00324ECD"/>
    <w:rsid w:val="00332D7F"/>
    <w:rsid w:val="00361EE4"/>
    <w:rsid w:val="0036754E"/>
    <w:rsid w:val="00373452"/>
    <w:rsid w:val="00392D61"/>
    <w:rsid w:val="00395DE7"/>
    <w:rsid w:val="003A0C82"/>
    <w:rsid w:val="003A74CB"/>
    <w:rsid w:val="003C34E1"/>
    <w:rsid w:val="003E5AFF"/>
    <w:rsid w:val="003E6813"/>
    <w:rsid w:val="003E6D0E"/>
    <w:rsid w:val="00403B46"/>
    <w:rsid w:val="00416A28"/>
    <w:rsid w:val="00427B01"/>
    <w:rsid w:val="00441097"/>
    <w:rsid w:val="004663CB"/>
    <w:rsid w:val="00493E59"/>
    <w:rsid w:val="004B4E3A"/>
    <w:rsid w:val="004B70C3"/>
    <w:rsid w:val="004C1CC6"/>
    <w:rsid w:val="004F690B"/>
    <w:rsid w:val="005066B6"/>
    <w:rsid w:val="00514E14"/>
    <w:rsid w:val="005254AD"/>
    <w:rsid w:val="00526E37"/>
    <w:rsid w:val="0053618B"/>
    <w:rsid w:val="005423CA"/>
    <w:rsid w:val="0055701D"/>
    <w:rsid w:val="00580FBA"/>
    <w:rsid w:val="0058264F"/>
    <w:rsid w:val="00583D7D"/>
    <w:rsid w:val="005B0AB0"/>
    <w:rsid w:val="005B6BFF"/>
    <w:rsid w:val="005B729F"/>
    <w:rsid w:val="005C24AA"/>
    <w:rsid w:val="005C6D89"/>
    <w:rsid w:val="005E279F"/>
    <w:rsid w:val="005F7052"/>
    <w:rsid w:val="00602E82"/>
    <w:rsid w:val="00620187"/>
    <w:rsid w:val="00625050"/>
    <w:rsid w:val="00630DA0"/>
    <w:rsid w:val="0063365D"/>
    <w:rsid w:val="006528C8"/>
    <w:rsid w:val="00667600"/>
    <w:rsid w:val="00671826"/>
    <w:rsid w:val="00682E63"/>
    <w:rsid w:val="006B245C"/>
    <w:rsid w:val="006D260E"/>
    <w:rsid w:val="006E29BC"/>
    <w:rsid w:val="006F0F49"/>
    <w:rsid w:val="007044C4"/>
    <w:rsid w:val="00714BB9"/>
    <w:rsid w:val="00715D88"/>
    <w:rsid w:val="0071681F"/>
    <w:rsid w:val="00724C9F"/>
    <w:rsid w:val="00732829"/>
    <w:rsid w:val="00766640"/>
    <w:rsid w:val="00772A5D"/>
    <w:rsid w:val="007A1A70"/>
    <w:rsid w:val="007A1A7E"/>
    <w:rsid w:val="007C3BB4"/>
    <w:rsid w:val="007C471C"/>
    <w:rsid w:val="007F2CA9"/>
    <w:rsid w:val="00807B8F"/>
    <w:rsid w:val="008144CA"/>
    <w:rsid w:val="00815538"/>
    <w:rsid w:val="008209CB"/>
    <w:rsid w:val="008247BA"/>
    <w:rsid w:val="008459C3"/>
    <w:rsid w:val="00862F57"/>
    <w:rsid w:val="00870C34"/>
    <w:rsid w:val="00886AA8"/>
    <w:rsid w:val="00893227"/>
    <w:rsid w:val="0089570F"/>
    <w:rsid w:val="00896C2B"/>
    <w:rsid w:val="008D7CE9"/>
    <w:rsid w:val="008F595B"/>
    <w:rsid w:val="00900CCD"/>
    <w:rsid w:val="00923E43"/>
    <w:rsid w:val="0092410E"/>
    <w:rsid w:val="00975032"/>
    <w:rsid w:val="00993D5F"/>
    <w:rsid w:val="009A75AB"/>
    <w:rsid w:val="009B7D39"/>
    <w:rsid w:val="009D532E"/>
    <w:rsid w:val="009E2116"/>
    <w:rsid w:val="00A338E3"/>
    <w:rsid w:val="00A47A2F"/>
    <w:rsid w:val="00A51163"/>
    <w:rsid w:val="00A564E1"/>
    <w:rsid w:val="00A57BB7"/>
    <w:rsid w:val="00A919AD"/>
    <w:rsid w:val="00A95466"/>
    <w:rsid w:val="00AB1DF0"/>
    <w:rsid w:val="00AB2C6C"/>
    <w:rsid w:val="00AC799C"/>
    <w:rsid w:val="00AD14FD"/>
    <w:rsid w:val="00AF6012"/>
    <w:rsid w:val="00B007D9"/>
    <w:rsid w:val="00B1278B"/>
    <w:rsid w:val="00B31620"/>
    <w:rsid w:val="00B504B9"/>
    <w:rsid w:val="00B60E2B"/>
    <w:rsid w:val="00B94489"/>
    <w:rsid w:val="00BA0BF2"/>
    <w:rsid w:val="00BA6021"/>
    <w:rsid w:val="00BC1A93"/>
    <w:rsid w:val="00BD3F45"/>
    <w:rsid w:val="00BD59C9"/>
    <w:rsid w:val="00BD7A32"/>
    <w:rsid w:val="00BE3C8F"/>
    <w:rsid w:val="00BE5799"/>
    <w:rsid w:val="00C01B9D"/>
    <w:rsid w:val="00C12181"/>
    <w:rsid w:val="00C13E27"/>
    <w:rsid w:val="00C151A1"/>
    <w:rsid w:val="00C548D2"/>
    <w:rsid w:val="00C60E32"/>
    <w:rsid w:val="00C616E2"/>
    <w:rsid w:val="00C771F6"/>
    <w:rsid w:val="00CA4E51"/>
    <w:rsid w:val="00CB582F"/>
    <w:rsid w:val="00CD0BF2"/>
    <w:rsid w:val="00CD2289"/>
    <w:rsid w:val="00CD2AB4"/>
    <w:rsid w:val="00D1326D"/>
    <w:rsid w:val="00D21732"/>
    <w:rsid w:val="00D45F4E"/>
    <w:rsid w:val="00D51CF6"/>
    <w:rsid w:val="00D67DF5"/>
    <w:rsid w:val="00D73EEA"/>
    <w:rsid w:val="00D96D28"/>
    <w:rsid w:val="00D96EE7"/>
    <w:rsid w:val="00DC004B"/>
    <w:rsid w:val="00DC51D7"/>
    <w:rsid w:val="00DC735D"/>
    <w:rsid w:val="00DD6CF6"/>
    <w:rsid w:val="00DF7797"/>
    <w:rsid w:val="00E101FE"/>
    <w:rsid w:val="00E1481A"/>
    <w:rsid w:val="00E32D49"/>
    <w:rsid w:val="00E42F9C"/>
    <w:rsid w:val="00E5246B"/>
    <w:rsid w:val="00E5294C"/>
    <w:rsid w:val="00E560AD"/>
    <w:rsid w:val="00E825EA"/>
    <w:rsid w:val="00E83177"/>
    <w:rsid w:val="00EA71CA"/>
    <w:rsid w:val="00EB5A09"/>
    <w:rsid w:val="00EC22C4"/>
    <w:rsid w:val="00ED7006"/>
    <w:rsid w:val="00EF3C17"/>
    <w:rsid w:val="00EF62B7"/>
    <w:rsid w:val="00F17ABA"/>
    <w:rsid w:val="00F32716"/>
    <w:rsid w:val="00F45316"/>
    <w:rsid w:val="00F46ECB"/>
    <w:rsid w:val="00F54B3E"/>
    <w:rsid w:val="00F7113B"/>
    <w:rsid w:val="00F857FC"/>
    <w:rsid w:val="00F93C39"/>
    <w:rsid w:val="00FA1ECD"/>
    <w:rsid w:val="00FA2CB1"/>
    <w:rsid w:val="00FA3871"/>
    <w:rsid w:val="00FA7631"/>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B9A9A0A"/>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hynk@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EF44F-0762-43E4-A1D4-01125837B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21</Pages>
  <Words>7477</Words>
  <Characters>44118</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114</cp:revision>
  <cp:lastPrinted>2023-04-18T05:12:00Z</cp:lastPrinted>
  <dcterms:created xsi:type="dcterms:W3CDTF">2020-06-11T09:25:00Z</dcterms:created>
  <dcterms:modified xsi:type="dcterms:W3CDTF">2023-04-20T12:30:00Z</dcterms:modified>
</cp:coreProperties>
</file>